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434EBD">
      <w:pPr>
        <w:adjustRightInd w:val="0"/>
        <w:snapToGrid w:val="0"/>
        <w:spacing w:line="240" w:lineRule="auto"/>
        <w:jc w:val="center"/>
        <w:rPr>
          <w:rFonts w:hint="eastAsia" w:eastAsia="方正小标宋简体"/>
          <w:b/>
          <w:bCs w:val="0"/>
          <w:kern w:val="36"/>
          <w:sz w:val="36"/>
          <w:szCs w:val="36"/>
          <w:highlight w:val="none"/>
          <w:lang w:val="en-US" w:eastAsia="zh-CN"/>
        </w:rPr>
      </w:pPr>
      <w:r>
        <w:rPr>
          <w:rFonts w:hint="eastAsia" w:eastAsia="方正小标宋简体"/>
          <w:b/>
          <w:bCs w:val="0"/>
          <w:kern w:val="36"/>
          <w:sz w:val="36"/>
          <w:szCs w:val="36"/>
          <w:highlight w:val="none"/>
          <w:lang w:eastAsia="zh-CN"/>
        </w:rPr>
        <w:t>《</w:t>
      </w:r>
      <w:r>
        <w:rPr>
          <w:rFonts w:hint="eastAsia" w:eastAsia="方正小标宋简体"/>
          <w:b/>
          <w:bCs w:val="0"/>
          <w:kern w:val="36"/>
          <w:sz w:val="36"/>
          <w:szCs w:val="36"/>
          <w:highlight w:val="none"/>
        </w:rPr>
        <w:t>浙江师范大学计算机科学与技术学院研究生综合测评实施细则</w:t>
      </w:r>
      <w:r>
        <w:rPr>
          <w:rFonts w:hint="eastAsia" w:eastAsia="方正小标宋简体"/>
          <w:b/>
          <w:bCs w:val="0"/>
          <w:kern w:val="36"/>
          <w:sz w:val="36"/>
          <w:szCs w:val="36"/>
          <w:highlight w:val="none"/>
          <w:lang w:eastAsia="zh-CN"/>
        </w:rPr>
        <w:t>（</w:t>
      </w:r>
      <w:r>
        <w:rPr>
          <w:rFonts w:hint="eastAsia" w:eastAsia="方正小标宋简体"/>
          <w:b/>
          <w:bCs w:val="0"/>
          <w:kern w:val="36"/>
          <w:sz w:val="36"/>
          <w:szCs w:val="36"/>
          <w:highlight w:val="none"/>
          <w:lang w:val="en-US" w:eastAsia="zh-CN"/>
        </w:rPr>
        <w:t>三</w:t>
      </w:r>
      <w:r>
        <w:rPr>
          <w:rFonts w:hint="eastAsia" w:eastAsia="方正小标宋简体"/>
          <w:b/>
          <w:bCs w:val="0"/>
          <w:kern w:val="36"/>
          <w:sz w:val="36"/>
          <w:szCs w:val="36"/>
          <w:highlight w:val="none"/>
          <w:lang w:eastAsia="zh-CN"/>
        </w:rPr>
        <w:t>）》</w:t>
      </w:r>
      <w:r>
        <w:rPr>
          <w:rFonts w:hint="eastAsia" w:eastAsia="方正小标宋简体"/>
          <w:b/>
          <w:bCs w:val="0"/>
          <w:kern w:val="36"/>
          <w:sz w:val="36"/>
          <w:szCs w:val="36"/>
          <w:highlight w:val="none"/>
          <w:lang w:val="en-US" w:eastAsia="zh-CN"/>
        </w:rPr>
        <w:t>主要修改内容说明</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
        <w:gridCol w:w="3762"/>
        <w:gridCol w:w="3885"/>
      </w:tblGrid>
      <w:tr w14:paraId="28746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CFCECE" w:themeFill="background2" w:themeFillShade="E5"/>
          </w:tcPr>
          <w:p w14:paraId="21D3E659">
            <w:pPr>
              <w:bidi w:val="0"/>
              <w:jc w:val="center"/>
              <w:rPr>
                <w:rFonts w:hint="default"/>
                <w:lang w:val="en-US" w:eastAsia="zh-CN"/>
              </w:rPr>
            </w:pPr>
            <w:r>
              <w:rPr>
                <w:rFonts w:hint="eastAsia"/>
                <w:lang w:val="en-US" w:eastAsia="zh-CN"/>
              </w:rPr>
              <w:t>序号</w:t>
            </w:r>
          </w:p>
        </w:tc>
        <w:tc>
          <w:tcPr>
            <w:tcW w:w="3762" w:type="dxa"/>
            <w:shd w:val="clear" w:color="auto" w:fill="CFCECE" w:themeFill="background2" w:themeFillShade="E5"/>
          </w:tcPr>
          <w:p w14:paraId="679C8BBF">
            <w:pPr>
              <w:bidi w:val="0"/>
              <w:jc w:val="center"/>
              <w:rPr>
                <w:rFonts w:hint="default"/>
                <w:lang w:val="en-US" w:eastAsia="zh-CN"/>
              </w:rPr>
            </w:pPr>
            <w:r>
              <w:rPr>
                <w:rFonts w:hint="eastAsia"/>
                <w:lang w:val="en-US" w:eastAsia="zh-CN"/>
              </w:rPr>
              <w:t>修改前</w:t>
            </w:r>
          </w:p>
        </w:tc>
        <w:tc>
          <w:tcPr>
            <w:tcW w:w="3885" w:type="dxa"/>
            <w:shd w:val="clear" w:color="auto" w:fill="CFCECE" w:themeFill="background2" w:themeFillShade="E5"/>
          </w:tcPr>
          <w:p w14:paraId="50E39E85">
            <w:pPr>
              <w:bidi w:val="0"/>
              <w:jc w:val="center"/>
              <w:rPr>
                <w:rFonts w:hint="default"/>
                <w:lang w:val="en-US" w:eastAsia="zh-CN"/>
              </w:rPr>
            </w:pPr>
            <w:r>
              <w:rPr>
                <w:rFonts w:hint="eastAsia"/>
                <w:lang w:val="en-US" w:eastAsia="zh-CN"/>
              </w:rPr>
              <w:t>修改后</w:t>
            </w:r>
          </w:p>
        </w:tc>
      </w:tr>
      <w:tr w14:paraId="15DC7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tcPr>
          <w:p w14:paraId="2CE9A10B">
            <w:pPr>
              <w:adjustRightInd w:val="0"/>
              <w:snapToGrid w:val="0"/>
              <w:spacing w:line="240" w:lineRule="auto"/>
              <w:jc w:val="left"/>
              <w:rPr>
                <w:rFonts w:hint="eastAsia" w:ascii="仿宋" w:hAnsi="仿宋" w:eastAsia="仿宋" w:cs="仿宋"/>
                <w:bCs/>
                <w:kern w:val="0"/>
                <w:sz w:val="24"/>
                <w:szCs w:val="24"/>
                <w:highlight w:val="none"/>
                <w:lang w:val="en-US" w:eastAsia="zh-CN"/>
              </w:rPr>
            </w:pPr>
            <w:r>
              <w:rPr>
                <w:rFonts w:hint="eastAsia" w:ascii="仿宋" w:hAnsi="仿宋" w:eastAsia="仿宋" w:cs="仿宋"/>
                <w:bCs/>
                <w:kern w:val="0"/>
                <w:sz w:val="24"/>
                <w:szCs w:val="24"/>
                <w:highlight w:val="none"/>
                <w:lang w:val="en-US" w:eastAsia="zh-CN"/>
              </w:rPr>
              <w:t>1</w:t>
            </w:r>
          </w:p>
        </w:tc>
        <w:tc>
          <w:tcPr>
            <w:tcW w:w="3762" w:type="dxa"/>
          </w:tcPr>
          <w:p w14:paraId="7801652E">
            <w:pPr>
              <w:numPr>
                <w:ilvl w:val="0"/>
                <w:numId w:val="0"/>
              </w:numPr>
              <w:adjustRightInd w:val="0"/>
              <w:snapToGrid w:val="0"/>
              <w:spacing w:line="560" w:lineRule="exact"/>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lang w:val="en-US" w:eastAsia="zh-CN" w:bidi="ar-SA"/>
              </w:rPr>
              <w:t>第十三条</w:t>
            </w:r>
            <w:r>
              <w:rPr>
                <w:rFonts w:hint="eastAsia" w:ascii="仿宋" w:hAnsi="仿宋" w:eastAsia="仿宋" w:cs="仿宋"/>
                <w:kern w:val="0"/>
                <w:sz w:val="24"/>
                <w:szCs w:val="24"/>
                <w:highlight w:val="none"/>
              </w:rPr>
              <w:t>德育模块</w:t>
            </w:r>
          </w:p>
          <w:p w14:paraId="04FEF96E">
            <w:pPr>
              <w:numPr>
                <w:ilvl w:val="0"/>
                <w:numId w:val="0"/>
              </w:numPr>
              <w:adjustRightInd w:val="0"/>
              <w:snapToGrid w:val="0"/>
              <w:spacing w:line="560" w:lineRule="exact"/>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（二）加分</w:t>
            </w:r>
          </w:p>
          <w:p w14:paraId="72BE4895">
            <w:pPr>
              <w:spacing w:line="560" w:lineRule="exact"/>
              <w:ind w:firstLine="480" w:firstLineChars="200"/>
              <w:rPr>
                <w:rFonts w:hint="eastAsia" w:ascii="仿宋" w:hAnsi="仿宋" w:eastAsia="仿宋" w:cs="仿宋"/>
                <w:bCs/>
                <w:kern w:val="0"/>
                <w:sz w:val="24"/>
                <w:szCs w:val="24"/>
                <w:highlight w:val="none"/>
              </w:rPr>
            </w:pPr>
            <w:r>
              <w:rPr>
                <w:rFonts w:hint="eastAsia" w:ascii="仿宋" w:hAnsi="仿宋" w:eastAsia="仿宋" w:cs="仿宋"/>
                <w:bCs/>
                <w:kern w:val="0"/>
                <w:sz w:val="24"/>
                <w:szCs w:val="24"/>
                <w:highlight w:val="none"/>
              </w:rPr>
              <w:t>3.志愿服务</w:t>
            </w:r>
          </w:p>
          <w:p w14:paraId="5556814E">
            <w:pPr>
              <w:adjustRightInd w:val="0"/>
              <w:snapToGrid w:val="0"/>
              <w:spacing w:line="240" w:lineRule="auto"/>
              <w:ind w:firstLine="480" w:firstLineChars="200"/>
              <w:jc w:val="left"/>
              <w:rPr>
                <w:rFonts w:hint="default" w:eastAsia="方正小标宋简体"/>
                <w:b/>
                <w:bCs w:val="0"/>
                <w:kern w:val="36"/>
                <w:sz w:val="36"/>
                <w:szCs w:val="36"/>
                <w:highlight w:val="none"/>
                <w:vertAlign w:val="baseline"/>
                <w:lang w:val="en-US" w:eastAsia="zh-CN"/>
              </w:rPr>
            </w:pPr>
            <w:r>
              <w:rPr>
                <w:rFonts w:hint="eastAsia" w:ascii="仿宋" w:hAnsi="仿宋" w:eastAsia="仿宋" w:cs="仿宋"/>
                <w:bCs/>
                <w:kern w:val="0"/>
                <w:sz w:val="24"/>
                <w:szCs w:val="24"/>
                <w:highlight w:val="none"/>
              </w:rPr>
              <w:t>研究生非毕业学年每学年参加志愿服务时长不少于10小时，每不足1小时扣0.2分。超过基础时长10小时后，每小时加0.2分，4分封顶。学院可结合实际情况对部分志愿服务活动时长进行认定。</w:t>
            </w:r>
            <w:r>
              <w:rPr>
                <w:rFonts w:hint="eastAsia" w:ascii="仿宋" w:hAnsi="仿宋" w:eastAsia="仿宋" w:cs="仿宋"/>
                <w:kern w:val="0"/>
                <w:sz w:val="24"/>
                <w:szCs w:val="24"/>
                <w:highlight w:val="none"/>
              </w:rPr>
              <w:t>博士研究生志愿服务基础时长不作要求（直博生除外，直博生前两年要求同上），鼓励参与志愿服务活动，</w:t>
            </w:r>
            <w:r>
              <w:rPr>
                <w:rFonts w:hint="eastAsia" w:ascii="仿宋" w:hAnsi="仿宋" w:eastAsia="仿宋" w:cs="仿宋"/>
                <w:kern w:val="0"/>
                <w:sz w:val="24"/>
                <w:szCs w:val="24"/>
                <w:highlight w:val="yellow"/>
              </w:rPr>
              <w:t>加分标准同上</w:t>
            </w:r>
            <w:r>
              <w:rPr>
                <w:rFonts w:hint="eastAsia" w:ascii="仿宋" w:hAnsi="仿宋" w:eastAsia="仿宋" w:cs="仿宋"/>
                <w:kern w:val="0"/>
                <w:sz w:val="28"/>
                <w:szCs w:val="28"/>
                <w:highlight w:val="none"/>
              </w:rPr>
              <w:t>。</w:t>
            </w:r>
          </w:p>
        </w:tc>
        <w:tc>
          <w:tcPr>
            <w:tcW w:w="3885" w:type="dxa"/>
          </w:tcPr>
          <w:p w14:paraId="0E0F4146">
            <w:pPr>
              <w:numPr>
                <w:ilvl w:val="0"/>
                <w:numId w:val="0"/>
              </w:numPr>
              <w:adjustRightInd w:val="0"/>
              <w:snapToGrid w:val="0"/>
              <w:spacing w:line="560" w:lineRule="exact"/>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lang w:val="en-US" w:eastAsia="zh-CN" w:bidi="ar-SA"/>
              </w:rPr>
              <w:t>第十三条</w:t>
            </w:r>
            <w:r>
              <w:rPr>
                <w:rFonts w:hint="eastAsia" w:ascii="仿宋" w:hAnsi="仿宋" w:eastAsia="仿宋" w:cs="仿宋"/>
                <w:kern w:val="0"/>
                <w:sz w:val="24"/>
                <w:szCs w:val="24"/>
                <w:highlight w:val="none"/>
              </w:rPr>
              <w:t>德育模块</w:t>
            </w:r>
          </w:p>
          <w:p w14:paraId="52632815">
            <w:pPr>
              <w:numPr>
                <w:ilvl w:val="0"/>
                <w:numId w:val="0"/>
              </w:numPr>
              <w:adjustRightInd w:val="0"/>
              <w:snapToGrid w:val="0"/>
              <w:spacing w:line="560" w:lineRule="exact"/>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（二）加分</w:t>
            </w:r>
          </w:p>
          <w:p w14:paraId="46548755">
            <w:pPr>
              <w:spacing w:line="560" w:lineRule="exact"/>
              <w:ind w:firstLine="480" w:firstLineChars="200"/>
              <w:rPr>
                <w:rFonts w:hint="eastAsia" w:ascii="仿宋" w:hAnsi="仿宋" w:eastAsia="仿宋" w:cs="仿宋"/>
                <w:bCs/>
                <w:kern w:val="0"/>
                <w:sz w:val="24"/>
                <w:szCs w:val="24"/>
                <w:highlight w:val="none"/>
              </w:rPr>
            </w:pPr>
            <w:r>
              <w:rPr>
                <w:rFonts w:hint="eastAsia" w:ascii="仿宋" w:hAnsi="仿宋" w:eastAsia="仿宋" w:cs="仿宋"/>
                <w:bCs/>
                <w:kern w:val="0"/>
                <w:sz w:val="24"/>
                <w:szCs w:val="24"/>
                <w:highlight w:val="none"/>
              </w:rPr>
              <w:t>3.志愿服务</w:t>
            </w:r>
          </w:p>
          <w:p w14:paraId="649AA48B">
            <w:pPr>
              <w:adjustRightInd w:val="0"/>
              <w:snapToGrid w:val="0"/>
              <w:spacing w:line="240" w:lineRule="auto"/>
              <w:ind w:firstLine="480" w:firstLineChars="200"/>
              <w:jc w:val="left"/>
              <w:rPr>
                <w:rFonts w:hint="default" w:eastAsia="方正小标宋简体"/>
                <w:b/>
                <w:bCs w:val="0"/>
                <w:kern w:val="36"/>
                <w:sz w:val="36"/>
                <w:szCs w:val="36"/>
                <w:highlight w:val="none"/>
                <w:vertAlign w:val="baseline"/>
                <w:lang w:val="en-US" w:eastAsia="zh-CN"/>
              </w:rPr>
            </w:pPr>
            <w:r>
              <w:rPr>
                <w:rFonts w:hint="eastAsia" w:ascii="仿宋" w:hAnsi="仿宋" w:eastAsia="仿宋" w:cs="仿宋"/>
                <w:bCs/>
                <w:kern w:val="0"/>
                <w:sz w:val="24"/>
                <w:szCs w:val="24"/>
                <w:highlight w:val="none"/>
              </w:rPr>
              <w:t>研究生非毕业学年每学年参加志愿服务时长不少于10小时，每不足1小时扣0.2分。超过基础时长10小时后，每小时加0.2分，4分封顶。学院可结合实际情况对部分志愿服务活动时长进行认定。</w:t>
            </w:r>
            <w:r>
              <w:rPr>
                <w:rFonts w:hint="eastAsia" w:ascii="仿宋" w:hAnsi="仿宋" w:eastAsia="仿宋" w:cs="仿宋"/>
                <w:kern w:val="0"/>
                <w:sz w:val="24"/>
                <w:szCs w:val="24"/>
                <w:highlight w:val="none"/>
              </w:rPr>
              <w:t>博士研究生志愿服务基础时长不作要求（直博生除外，直博生前两年要求同上），鼓励参与志愿服务活动，</w:t>
            </w:r>
            <w:r>
              <w:rPr>
                <w:rFonts w:hint="eastAsia" w:ascii="仿宋" w:hAnsi="仿宋" w:eastAsia="仿宋" w:cs="仿宋"/>
                <w:kern w:val="0"/>
                <w:sz w:val="24"/>
                <w:szCs w:val="24"/>
                <w:highlight w:val="yellow"/>
              </w:rPr>
              <w:t>参与志愿时长每小时加0.2分，4分封顶</w:t>
            </w:r>
            <w:r>
              <w:rPr>
                <w:rFonts w:hint="eastAsia" w:ascii="仿宋" w:hAnsi="仿宋" w:eastAsia="仿宋" w:cs="仿宋"/>
                <w:kern w:val="0"/>
                <w:sz w:val="24"/>
                <w:szCs w:val="24"/>
                <w:highlight w:val="none"/>
              </w:rPr>
              <w:t>。</w:t>
            </w:r>
          </w:p>
        </w:tc>
      </w:tr>
      <w:tr w14:paraId="550E5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tcPr>
          <w:p w14:paraId="698294A1">
            <w:pPr>
              <w:adjustRightInd w:val="0"/>
              <w:snapToGrid w:val="0"/>
              <w:spacing w:line="240" w:lineRule="auto"/>
              <w:jc w:val="left"/>
              <w:rPr>
                <w:rFonts w:hint="default" w:ascii="仿宋" w:hAnsi="仿宋" w:eastAsia="仿宋" w:cs="仿宋"/>
                <w:bCs/>
                <w:kern w:val="0"/>
                <w:sz w:val="24"/>
                <w:szCs w:val="24"/>
                <w:highlight w:val="none"/>
                <w:lang w:val="en-US" w:eastAsia="zh-CN"/>
              </w:rPr>
            </w:pPr>
            <w:r>
              <w:rPr>
                <w:rFonts w:hint="eastAsia" w:ascii="仿宋" w:hAnsi="仿宋" w:eastAsia="仿宋" w:cs="仿宋"/>
                <w:bCs/>
                <w:kern w:val="0"/>
                <w:sz w:val="24"/>
                <w:szCs w:val="24"/>
                <w:highlight w:val="none"/>
                <w:lang w:val="en-US" w:eastAsia="zh-CN"/>
              </w:rPr>
              <w:t>2</w:t>
            </w:r>
          </w:p>
        </w:tc>
        <w:tc>
          <w:tcPr>
            <w:tcW w:w="3762" w:type="dxa"/>
          </w:tcPr>
          <w:p w14:paraId="34FC5B9A">
            <w:pPr>
              <w:adjustRightInd w:val="0"/>
              <w:snapToGrid w:val="0"/>
              <w:spacing w:line="240" w:lineRule="auto"/>
              <w:ind w:firstLine="480" w:firstLineChars="200"/>
              <w:jc w:val="left"/>
              <w:rPr>
                <w:rFonts w:hint="default" w:ascii="仿宋" w:hAnsi="仿宋" w:eastAsia="仿宋" w:cs="仿宋"/>
                <w:bCs/>
                <w:kern w:val="0"/>
                <w:sz w:val="24"/>
                <w:szCs w:val="24"/>
                <w:highlight w:val="none"/>
                <w:lang w:val="en-US" w:eastAsia="zh-CN"/>
              </w:rPr>
            </w:pPr>
            <w:r>
              <w:rPr>
                <w:rFonts w:hint="eastAsia" w:ascii="仿宋" w:hAnsi="仿宋" w:eastAsia="仿宋" w:cs="仿宋"/>
                <w:bCs/>
                <w:kern w:val="0"/>
                <w:sz w:val="24"/>
                <w:szCs w:val="24"/>
                <w:highlight w:val="none"/>
                <w:lang w:val="en-US" w:eastAsia="zh-CN"/>
              </w:rPr>
              <w:t>表5 科研成果计分标准</w:t>
            </w:r>
          </w:p>
          <w:p w14:paraId="2B857511">
            <w:pPr>
              <w:adjustRightInd w:val="0"/>
              <w:snapToGrid w:val="0"/>
              <w:spacing w:line="240" w:lineRule="auto"/>
              <w:jc w:val="center"/>
              <w:rPr>
                <w:rFonts w:hint="default" w:eastAsia="方正小标宋简体"/>
                <w:b/>
                <w:bCs w:val="0"/>
                <w:kern w:val="36"/>
                <w:sz w:val="24"/>
                <w:szCs w:val="24"/>
                <w:highlight w:val="none"/>
                <w:vertAlign w:val="baseline"/>
                <w:lang w:val="en-US" w:eastAsia="zh-CN"/>
              </w:rPr>
            </w:pPr>
            <w:r>
              <w:rPr>
                <w:rFonts w:hint="default" w:eastAsia="方正小标宋简体"/>
                <w:b/>
                <w:bCs w:val="0"/>
                <w:kern w:val="36"/>
                <w:sz w:val="24"/>
                <w:szCs w:val="24"/>
                <w:highlight w:val="none"/>
                <w:vertAlign w:val="baseline"/>
                <w:lang w:val="en-US" w:eastAsia="zh-CN"/>
              </w:rPr>
              <w:drawing>
                <wp:inline distT="0" distB="0" distL="114300" distR="114300">
                  <wp:extent cx="2299970" cy="434975"/>
                  <wp:effectExtent l="0" t="0" r="5080" b="3175"/>
                  <wp:docPr id="1" name="图片 1" descr="6e589c6b-2811-48aa-88bf-931ae15aba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e589c6b-2811-48aa-88bf-931ae15aba76"/>
                          <pic:cNvPicPr>
                            <a:picLocks noChangeAspect="1"/>
                          </pic:cNvPicPr>
                        </pic:nvPicPr>
                        <pic:blipFill>
                          <a:blip r:embed="rId6"/>
                          <a:stretch>
                            <a:fillRect/>
                          </a:stretch>
                        </pic:blipFill>
                        <pic:spPr>
                          <a:xfrm>
                            <a:off x="0" y="0"/>
                            <a:ext cx="2299970" cy="434975"/>
                          </a:xfrm>
                          <a:prstGeom prst="rect">
                            <a:avLst/>
                          </a:prstGeom>
                        </pic:spPr>
                      </pic:pic>
                    </a:graphicData>
                  </a:graphic>
                </wp:inline>
              </w:drawing>
            </w:r>
          </w:p>
        </w:tc>
        <w:tc>
          <w:tcPr>
            <w:tcW w:w="3885" w:type="dxa"/>
          </w:tcPr>
          <w:p w14:paraId="41C88080">
            <w:pPr>
              <w:adjustRightInd w:val="0"/>
              <w:snapToGrid w:val="0"/>
              <w:spacing w:line="240" w:lineRule="auto"/>
              <w:jc w:val="center"/>
              <w:rPr>
                <w:rFonts w:hint="default" w:eastAsia="方正小标宋简体"/>
                <w:b/>
                <w:bCs w:val="0"/>
                <w:kern w:val="36"/>
                <w:sz w:val="24"/>
                <w:szCs w:val="24"/>
                <w:highlight w:val="none"/>
                <w:vertAlign w:val="baseline"/>
                <w:lang w:val="en-US" w:eastAsia="zh-CN"/>
              </w:rPr>
            </w:pPr>
            <w:r>
              <w:rPr>
                <w:rFonts w:hint="eastAsia" w:ascii="仿宋" w:hAnsi="仿宋" w:eastAsia="仿宋" w:cs="仿宋"/>
                <w:bCs/>
                <w:kern w:val="0"/>
                <w:sz w:val="24"/>
                <w:szCs w:val="24"/>
                <w:highlight w:val="none"/>
                <w:lang w:val="en-US" w:eastAsia="zh-CN"/>
              </w:rPr>
              <w:t>表5 科研成果计分标准</w:t>
            </w:r>
          </w:p>
          <w:p w14:paraId="53B982DD">
            <w:pPr>
              <w:adjustRightInd w:val="0"/>
              <w:snapToGrid w:val="0"/>
              <w:spacing w:line="240" w:lineRule="auto"/>
              <w:jc w:val="center"/>
              <w:rPr>
                <w:rFonts w:hint="default" w:eastAsia="方正小标宋简体"/>
                <w:b/>
                <w:bCs w:val="0"/>
                <w:kern w:val="36"/>
                <w:sz w:val="24"/>
                <w:szCs w:val="24"/>
                <w:highlight w:val="none"/>
                <w:vertAlign w:val="baseline"/>
                <w:lang w:val="en-US" w:eastAsia="zh-CN"/>
              </w:rPr>
            </w:pPr>
            <w:r>
              <w:rPr>
                <w:rFonts w:hint="default" w:eastAsia="方正小标宋简体"/>
                <w:b/>
                <w:bCs w:val="0"/>
                <w:kern w:val="36"/>
                <w:sz w:val="24"/>
                <w:szCs w:val="24"/>
                <w:highlight w:val="none"/>
                <w:vertAlign w:val="baseline"/>
                <w:lang w:val="en-US" w:eastAsia="zh-CN"/>
              </w:rPr>
              <w:drawing>
                <wp:inline distT="0" distB="0" distL="114300" distR="114300">
                  <wp:extent cx="2324735" cy="337820"/>
                  <wp:effectExtent l="0" t="0" r="18415" b="5080"/>
                  <wp:docPr id="2" name="图片 2" descr="6c57827e-5e44-4862-a417-52329f4a69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6c57827e-5e44-4862-a417-52329f4a69d7"/>
                          <pic:cNvPicPr>
                            <a:picLocks noChangeAspect="1"/>
                          </pic:cNvPicPr>
                        </pic:nvPicPr>
                        <pic:blipFill>
                          <a:blip r:embed="rId7"/>
                          <a:stretch>
                            <a:fillRect/>
                          </a:stretch>
                        </pic:blipFill>
                        <pic:spPr>
                          <a:xfrm>
                            <a:off x="0" y="0"/>
                            <a:ext cx="2324735" cy="337820"/>
                          </a:xfrm>
                          <a:prstGeom prst="rect">
                            <a:avLst/>
                          </a:prstGeom>
                        </pic:spPr>
                      </pic:pic>
                    </a:graphicData>
                  </a:graphic>
                </wp:inline>
              </w:drawing>
            </w:r>
          </w:p>
          <w:p w14:paraId="300447F5">
            <w:pPr>
              <w:adjustRightInd w:val="0"/>
              <w:snapToGrid w:val="0"/>
              <w:spacing w:line="240" w:lineRule="auto"/>
              <w:jc w:val="left"/>
              <w:rPr>
                <w:rFonts w:hint="default" w:eastAsia="方正小标宋简体"/>
                <w:b/>
                <w:bCs w:val="0"/>
                <w:kern w:val="36"/>
                <w:sz w:val="24"/>
                <w:szCs w:val="24"/>
                <w:highlight w:val="none"/>
                <w:vertAlign w:val="baseline"/>
                <w:lang w:val="en-US" w:eastAsia="zh-CN"/>
              </w:rPr>
            </w:pPr>
            <w:r>
              <w:rPr>
                <w:rFonts w:hint="eastAsia" w:ascii="仿宋" w:hAnsi="仿宋" w:eastAsia="仿宋" w:cs="仿宋"/>
                <w:bCs/>
                <w:kern w:val="0"/>
                <w:sz w:val="24"/>
                <w:szCs w:val="24"/>
                <w:highlight w:val="none"/>
                <w:lang w:val="en-US" w:eastAsia="zh-CN"/>
              </w:rPr>
              <w:t>（说明：删除计算机软件著作权登记加分）</w:t>
            </w:r>
          </w:p>
        </w:tc>
      </w:tr>
      <w:tr w14:paraId="15662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tcPr>
          <w:p w14:paraId="097387CD">
            <w:pPr>
              <w:adjustRightInd w:val="0"/>
              <w:snapToGrid w:val="0"/>
              <w:spacing w:line="240" w:lineRule="auto"/>
              <w:jc w:val="left"/>
              <w:rPr>
                <w:rFonts w:hint="eastAsia" w:ascii="仿宋" w:hAnsi="仿宋" w:eastAsia="仿宋" w:cs="仿宋"/>
                <w:bCs/>
                <w:kern w:val="0"/>
                <w:sz w:val="24"/>
                <w:szCs w:val="24"/>
                <w:highlight w:val="none"/>
                <w:lang w:val="en-US" w:eastAsia="zh-CN"/>
              </w:rPr>
            </w:pPr>
            <w:r>
              <w:rPr>
                <w:rFonts w:hint="eastAsia" w:ascii="仿宋" w:hAnsi="仿宋" w:eastAsia="仿宋" w:cs="仿宋"/>
                <w:bCs/>
                <w:kern w:val="0"/>
                <w:sz w:val="24"/>
                <w:szCs w:val="24"/>
                <w:highlight w:val="none"/>
                <w:lang w:val="en-US" w:eastAsia="zh-CN"/>
              </w:rPr>
              <w:t>3</w:t>
            </w:r>
          </w:p>
        </w:tc>
        <w:tc>
          <w:tcPr>
            <w:tcW w:w="3762" w:type="dxa"/>
          </w:tcPr>
          <w:p w14:paraId="6B410617">
            <w:pPr>
              <w:adjustRightInd w:val="0"/>
              <w:snapToGrid w:val="0"/>
              <w:spacing w:line="288" w:lineRule="auto"/>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lang w:val="en-US" w:eastAsia="zh-CN"/>
              </w:rPr>
              <w:t>第十四条</w:t>
            </w:r>
            <w:r>
              <w:rPr>
                <w:rFonts w:hint="eastAsia" w:ascii="仿宋" w:hAnsi="仿宋" w:eastAsia="仿宋" w:cs="仿宋"/>
                <w:kern w:val="0"/>
                <w:sz w:val="24"/>
                <w:szCs w:val="24"/>
                <w:highlight w:val="none"/>
              </w:rPr>
              <w:t>智育模块</w:t>
            </w:r>
          </w:p>
          <w:p w14:paraId="37C8DB7C">
            <w:pPr>
              <w:numPr>
                <w:ilvl w:val="0"/>
                <w:numId w:val="0"/>
              </w:numPr>
              <w:adjustRightInd w:val="0"/>
              <w:snapToGrid w:val="0"/>
              <w:spacing w:line="288" w:lineRule="auto"/>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lang w:val="en-US" w:eastAsia="zh-CN" w:bidi="ar-SA"/>
              </w:rPr>
              <w:t>（三）</w:t>
            </w:r>
            <w:r>
              <w:rPr>
                <w:rFonts w:hint="eastAsia" w:ascii="仿宋" w:hAnsi="仿宋" w:eastAsia="仿宋" w:cs="仿宋"/>
                <w:kern w:val="0"/>
                <w:sz w:val="24"/>
                <w:szCs w:val="24"/>
                <w:highlight w:val="none"/>
              </w:rPr>
              <w:t>科研分</w:t>
            </w:r>
          </w:p>
          <w:p w14:paraId="6CC23228">
            <w:pPr>
              <w:numPr>
                <w:ilvl w:val="0"/>
                <w:numId w:val="0"/>
              </w:numPr>
              <w:adjustRightInd w:val="0"/>
              <w:snapToGrid w:val="0"/>
              <w:spacing w:line="288" w:lineRule="auto"/>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2．科研能力分</w:t>
            </w:r>
          </w:p>
          <w:p w14:paraId="6B027ECC">
            <w:pPr>
              <w:adjustRightInd w:val="0"/>
              <w:snapToGrid w:val="0"/>
              <w:spacing w:line="240" w:lineRule="auto"/>
              <w:ind w:firstLine="480" w:firstLineChars="200"/>
              <w:jc w:val="left"/>
              <w:rPr>
                <w:rFonts w:hint="default" w:eastAsia="方正小标宋简体"/>
                <w:b/>
                <w:bCs w:val="0"/>
                <w:kern w:val="36"/>
                <w:sz w:val="36"/>
                <w:szCs w:val="36"/>
                <w:highlight w:val="none"/>
                <w:vertAlign w:val="baseline"/>
                <w:lang w:val="en-US" w:eastAsia="zh-CN"/>
              </w:rPr>
            </w:pPr>
            <w:r>
              <w:rPr>
                <w:rFonts w:hint="eastAsia" w:ascii="仿宋" w:hAnsi="仿宋" w:eastAsia="仿宋" w:cs="仿宋"/>
                <w:kern w:val="0"/>
                <w:sz w:val="24"/>
                <w:szCs w:val="24"/>
                <w:highlight w:val="none"/>
              </w:rPr>
              <w:t>（11）授权实用新型专利、</w:t>
            </w:r>
            <w:r>
              <w:rPr>
                <w:rFonts w:hint="eastAsia" w:ascii="仿宋" w:hAnsi="仿宋" w:eastAsia="仿宋" w:cs="仿宋"/>
                <w:kern w:val="0"/>
                <w:sz w:val="24"/>
                <w:szCs w:val="24"/>
                <w:highlight w:val="none"/>
                <w:lang w:val="en-US" w:eastAsia="zh-CN"/>
              </w:rPr>
              <w:t>发明专利</w:t>
            </w:r>
            <w:r>
              <w:rPr>
                <w:rFonts w:hint="eastAsia" w:ascii="仿宋" w:hAnsi="仿宋" w:eastAsia="仿宋" w:cs="仿宋"/>
                <w:kern w:val="0"/>
                <w:sz w:val="24"/>
                <w:szCs w:val="24"/>
                <w:highlight w:val="yellow"/>
              </w:rPr>
              <w:t>、计算机软件著作权登记</w:t>
            </w:r>
            <w:r>
              <w:rPr>
                <w:rFonts w:hint="eastAsia" w:ascii="仿宋" w:hAnsi="仿宋" w:eastAsia="仿宋" w:cs="仿宋"/>
                <w:kern w:val="0"/>
                <w:sz w:val="24"/>
                <w:szCs w:val="24"/>
                <w:highlight w:val="none"/>
              </w:rPr>
              <w:t>加分规定：证书上的著作权人为“浙江师范大学”可以加分，著作权人为学生不加分；</w:t>
            </w:r>
            <w:r>
              <w:rPr>
                <w:rFonts w:hint="eastAsia" w:ascii="仿宋" w:hAnsi="仿宋" w:eastAsia="仿宋" w:cs="仿宋"/>
                <w:kern w:val="0"/>
                <w:sz w:val="24"/>
                <w:szCs w:val="24"/>
                <w:highlight w:val="yellow"/>
              </w:rPr>
              <w:t>只加第一完成人，其他成员不予加分，如第一完成人为浙江师范大学老师，学生不加分</w:t>
            </w:r>
            <w:r>
              <w:rPr>
                <w:rFonts w:hint="eastAsia" w:ascii="仿宋" w:hAnsi="仿宋" w:eastAsia="仿宋" w:cs="仿宋"/>
                <w:kern w:val="0"/>
                <w:sz w:val="24"/>
                <w:szCs w:val="24"/>
                <w:highlight w:val="none"/>
              </w:rPr>
              <w:t>。授权中国及其他国家（地区）发明专利不设限；授权实用新型专利每学年累计加分不超过</w:t>
            </w:r>
            <w:r>
              <w:rPr>
                <w:rFonts w:ascii="仿宋" w:hAnsi="仿宋" w:eastAsia="仿宋" w:cs="仿宋"/>
                <w:kern w:val="0"/>
                <w:sz w:val="24"/>
                <w:szCs w:val="24"/>
                <w:highlight w:val="none"/>
              </w:rPr>
              <w:t>1</w:t>
            </w:r>
            <w:r>
              <w:rPr>
                <w:rFonts w:hint="eastAsia" w:ascii="仿宋" w:hAnsi="仿宋" w:eastAsia="仿宋" w:cs="仿宋"/>
                <w:kern w:val="0"/>
                <w:sz w:val="24"/>
                <w:szCs w:val="24"/>
                <w:highlight w:val="none"/>
              </w:rPr>
              <w:t>项</w:t>
            </w:r>
            <w:r>
              <w:rPr>
                <w:rFonts w:hint="eastAsia" w:ascii="仿宋" w:hAnsi="仿宋" w:eastAsia="仿宋" w:cs="仿宋"/>
                <w:kern w:val="0"/>
                <w:sz w:val="24"/>
                <w:szCs w:val="24"/>
                <w:highlight w:val="yellow"/>
              </w:rPr>
              <w:t>，计算机软件著作权登记</w:t>
            </w:r>
            <w:r>
              <w:rPr>
                <w:rFonts w:hint="eastAsia" w:ascii="仿宋" w:hAnsi="仿宋" w:eastAsia="仿宋" w:cs="仿宋"/>
                <w:kern w:val="0"/>
                <w:sz w:val="24"/>
                <w:szCs w:val="24"/>
                <w:highlight w:val="yellow"/>
                <w:lang w:val="en-US" w:eastAsia="zh-CN"/>
              </w:rPr>
              <w:t>研究生期间只允许申报1次</w:t>
            </w:r>
            <w:r>
              <w:rPr>
                <w:rFonts w:hint="eastAsia" w:ascii="仿宋" w:hAnsi="仿宋" w:eastAsia="仿宋" w:cs="仿宋"/>
                <w:kern w:val="0"/>
                <w:sz w:val="24"/>
                <w:szCs w:val="24"/>
                <w:highlight w:val="none"/>
              </w:rPr>
              <w:t>。</w:t>
            </w:r>
          </w:p>
        </w:tc>
        <w:tc>
          <w:tcPr>
            <w:tcW w:w="3885" w:type="dxa"/>
          </w:tcPr>
          <w:p w14:paraId="5960707C">
            <w:pPr>
              <w:adjustRightInd w:val="0"/>
              <w:snapToGrid w:val="0"/>
              <w:spacing w:line="288" w:lineRule="auto"/>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lang w:val="en-US" w:eastAsia="zh-CN"/>
              </w:rPr>
              <w:t>第十四条</w:t>
            </w:r>
            <w:r>
              <w:rPr>
                <w:rFonts w:hint="eastAsia" w:ascii="仿宋" w:hAnsi="仿宋" w:eastAsia="仿宋" w:cs="仿宋"/>
                <w:kern w:val="0"/>
                <w:sz w:val="24"/>
                <w:szCs w:val="24"/>
                <w:highlight w:val="none"/>
              </w:rPr>
              <w:t>智育模块</w:t>
            </w:r>
          </w:p>
          <w:p w14:paraId="0831C1E0">
            <w:pPr>
              <w:numPr>
                <w:ilvl w:val="0"/>
                <w:numId w:val="0"/>
              </w:numPr>
              <w:adjustRightInd w:val="0"/>
              <w:snapToGrid w:val="0"/>
              <w:spacing w:line="288" w:lineRule="auto"/>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lang w:val="en-US" w:eastAsia="zh-CN" w:bidi="ar-SA"/>
              </w:rPr>
              <w:t>（三）</w:t>
            </w:r>
            <w:r>
              <w:rPr>
                <w:rFonts w:hint="eastAsia" w:ascii="仿宋" w:hAnsi="仿宋" w:eastAsia="仿宋" w:cs="仿宋"/>
                <w:kern w:val="0"/>
                <w:sz w:val="24"/>
                <w:szCs w:val="24"/>
                <w:highlight w:val="none"/>
              </w:rPr>
              <w:t>科研分</w:t>
            </w:r>
          </w:p>
          <w:p w14:paraId="0260507F">
            <w:pPr>
              <w:adjustRightInd w:val="0"/>
              <w:snapToGrid w:val="0"/>
              <w:spacing w:line="240" w:lineRule="auto"/>
              <w:ind w:firstLine="480" w:firstLineChars="200"/>
              <w:jc w:val="both"/>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2．科研能力分</w:t>
            </w:r>
          </w:p>
          <w:p w14:paraId="024CAA02">
            <w:pPr>
              <w:adjustRightInd w:val="0"/>
              <w:snapToGrid w:val="0"/>
              <w:spacing w:line="240" w:lineRule="auto"/>
              <w:ind w:firstLine="480" w:firstLineChars="200"/>
              <w:jc w:val="left"/>
              <w:rPr>
                <w:rFonts w:hint="default" w:eastAsia="方正小标宋简体"/>
                <w:b/>
                <w:bCs w:val="0"/>
                <w:kern w:val="36"/>
                <w:sz w:val="36"/>
                <w:szCs w:val="36"/>
                <w:highlight w:val="none"/>
                <w:vertAlign w:val="baseline"/>
                <w:lang w:val="en-US" w:eastAsia="zh-CN"/>
              </w:rPr>
            </w:pPr>
            <w:r>
              <w:rPr>
                <w:rFonts w:hint="eastAsia" w:ascii="仿宋" w:hAnsi="仿宋" w:eastAsia="仿宋" w:cs="仿宋"/>
                <w:kern w:val="0"/>
                <w:sz w:val="24"/>
                <w:szCs w:val="24"/>
                <w:highlight w:val="none"/>
              </w:rPr>
              <w:t>（11）授权实用新型专利、</w:t>
            </w:r>
            <w:r>
              <w:rPr>
                <w:rFonts w:hint="eastAsia" w:ascii="仿宋" w:hAnsi="仿宋" w:eastAsia="仿宋" w:cs="仿宋"/>
                <w:kern w:val="0"/>
                <w:sz w:val="24"/>
                <w:szCs w:val="24"/>
                <w:highlight w:val="none"/>
                <w:lang w:val="en-US" w:eastAsia="zh-CN"/>
              </w:rPr>
              <w:t>发明专利</w:t>
            </w:r>
            <w:r>
              <w:rPr>
                <w:rFonts w:hint="eastAsia" w:ascii="仿宋" w:hAnsi="仿宋" w:eastAsia="仿宋" w:cs="仿宋"/>
                <w:kern w:val="0"/>
                <w:sz w:val="24"/>
                <w:szCs w:val="24"/>
                <w:highlight w:val="none"/>
              </w:rPr>
              <w:t>加分规定：证书上的著作权人为“浙江师范大学”可以加分，著作权人为学生不加分；</w:t>
            </w:r>
            <w:r>
              <w:rPr>
                <w:rFonts w:hint="eastAsia" w:ascii="仿宋" w:hAnsi="仿宋" w:eastAsia="仿宋" w:cs="仿宋"/>
                <w:kern w:val="0"/>
                <w:sz w:val="24"/>
                <w:szCs w:val="24"/>
                <w:highlight w:val="yellow"/>
              </w:rPr>
              <w:t>只加第一完成人</w:t>
            </w:r>
            <w:r>
              <w:rPr>
                <w:rFonts w:hint="eastAsia" w:ascii="仿宋" w:hAnsi="仿宋" w:eastAsia="仿宋" w:cs="仿宋"/>
                <w:kern w:val="0"/>
                <w:sz w:val="24"/>
                <w:szCs w:val="24"/>
                <w:highlight w:val="yellow"/>
                <w:lang w:eastAsia="zh-CN"/>
              </w:rPr>
              <w:t>（</w:t>
            </w:r>
            <w:r>
              <w:rPr>
                <w:rFonts w:hint="eastAsia" w:ascii="仿宋" w:hAnsi="仿宋" w:eastAsia="仿宋" w:cs="仿宋"/>
                <w:kern w:val="0"/>
                <w:sz w:val="24"/>
                <w:szCs w:val="24"/>
                <w:highlight w:val="yellow"/>
                <w:lang w:val="en-US" w:eastAsia="zh-CN"/>
              </w:rPr>
              <w:t>包含导师为第一完成人，学生为第二完成人的情况</w:t>
            </w:r>
            <w:r>
              <w:rPr>
                <w:rFonts w:hint="eastAsia" w:ascii="仿宋" w:hAnsi="仿宋" w:eastAsia="仿宋" w:cs="仿宋"/>
                <w:kern w:val="0"/>
                <w:sz w:val="24"/>
                <w:szCs w:val="24"/>
                <w:highlight w:val="yellow"/>
                <w:lang w:eastAsia="zh-CN"/>
              </w:rPr>
              <w:t>）</w:t>
            </w:r>
            <w:r>
              <w:rPr>
                <w:rFonts w:hint="eastAsia" w:ascii="仿宋" w:hAnsi="仿宋" w:eastAsia="仿宋" w:cs="仿宋"/>
                <w:kern w:val="0"/>
                <w:sz w:val="24"/>
                <w:szCs w:val="24"/>
                <w:highlight w:val="yellow"/>
              </w:rPr>
              <w:t>，其他成员不予加分。</w:t>
            </w:r>
            <w:r>
              <w:rPr>
                <w:rFonts w:hint="eastAsia" w:ascii="仿宋" w:hAnsi="仿宋" w:eastAsia="仿宋" w:cs="仿宋"/>
                <w:kern w:val="0"/>
                <w:sz w:val="24"/>
                <w:szCs w:val="24"/>
                <w:highlight w:val="none"/>
              </w:rPr>
              <w:t>授权中国及其他国家（地区）发明专利不设限；授权实用新型专利每学年累计加分不超过</w:t>
            </w:r>
            <w:r>
              <w:rPr>
                <w:rFonts w:ascii="仿宋" w:hAnsi="仿宋" w:eastAsia="仿宋" w:cs="仿宋"/>
                <w:kern w:val="0"/>
                <w:sz w:val="24"/>
                <w:szCs w:val="24"/>
                <w:highlight w:val="none"/>
              </w:rPr>
              <w:t>1</w:t>
            </w:r>
            <w:r>
              <w:rPr>
                <w:rFonts w:hint="eastAsia" w:ascii="仿宋" w:hAnsi="仿宋" w:eastAsia="仿宋" w:cs="仿宋"/>
                <w:kern w:val="0"/>
                <w:sz w:val="24"/>
                <w:szCs w:val="24"/>
                <w:highlight w:val="none"/>
              </w:rPr>
              <w:t>项。</w:t>
            </w:r>
          </w:p>
        </w:tc>
      </w:tr>
      <w:tr w14:paraId="5F77F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tcPr>
          <w:p w14:paraId="00EC4B10">
            <w:pPr>
              <w:adjustRightInd w:val="0"/>
              <w:snapToGrid w:val="0"/>
              <w:spacing w:line="240" w:lineRule="auto"/>
              <w:jc w:val="left"/>
              <w:rPr>
                <w:rFonts w:hint="eastAsia" w:ascii="仿宋" w:hAnsi="仿宋" w:eastAsia="仿宋" w:cs="仿宋"/>
                <w:bCs/>
                <w:kern w:val="0"/>
                <w:sz w:val="24"/>
                <w:szCs w:val="24"/>
                <w:highlight w:val="none"/>
                <w:lang w:val="en-US" w:eastAsia="zh-CN"/>
              </w:rPr>
            </w:pPr>
            <w:r>
              <w:rPr>
                <w:rFonts w:hint="eastAsia" w:ascii="仿宋" w:hAnsi="仿宋" w:eastAsia="仿宋" w:cs="仿宋"/>
                <w:bCs/>
                <w:kern w:val="0"/>
                <w:sz w:val="24"/>
                <w:szCs w:val="24"/>
                <w:highlight w:val="none"/>
                <w:lang w:val="en-US" w:eastAsia="zh-CN"/>
              </w:rPr>
              <w:t>4</w:t>
            </w:r>
          </w:p>
        </w:tc>
        <w:tc>
          <w:tcPr>
            <w:tcW w:w="3762" w:type="dxa"/>
          </w:tcPr>
          <w:p w14:paraId="573CE5AC">
            <w:pPr>
              <w:adjustRightInd w:val="0"/>
              <w:snapToGrid w:val="0"/>
              <w:spacing w:line="288" w:lineRule="auto"/>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lang w:val="en-US" w:eastAsia="zh-CN"/>
              </w:rPr>
              <w:t>第十四条</w:t>
            </w:r>
            <w:r>
              <w:rPr>
                <w:rFonts w:hint="eastAsia" w:ascii="仿宋" w:hAnsi="仿宋" w:eastAsia="仿宋" w:cs="仿宋"/>
                <w:kern w:val="0"/>
                <w:sz w:val="24"/>
                <w:szCs w:val="24"/>
                <w:highlight w:val="none"/>
              </w:rPr>
              <w:t>智育模块</w:t>
            </w:r>
          </w:p>
          <w:p w14:paraId="31A20F44">
            <w:pPr>
              <w:adjustRightInd w:val="0"/>
              <w:snapToGrid w:val="0"/>
              <w:spacing w:line="288" w:lineRule="auto"/>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（三）科研分</w:t>
            </w:r>
          </w:p>
          <w:p w14:paraId="689C82AE">
            <w:pPr>
              <w:adjustRightInd w:val="0"/>
              <w:snapToGrid w:val="0"/>
              <w:spacing w:line="288" w:lineRule="auto"/>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2．科研能力分</w:t>
            </w:r>
          </w:p>
          <w:p w14:paraId="11F59361">
            <w:pPr>
              <w:adjustRightInd w:val="0"/>
              <w:snapToGrid w:val="0"/>
              <w:spacing w:line="240" w:lineRule="auto"/>
              <w:ind w:firstLine="480" w:firstLineChars="200"/>
              <w:jc w:val="left"/>
              <w:rPr>
                <w:rFonts w:hint="default" w:eastAsia="方正小标宋简体"/>
                <w:b/>
                <w:bCs w:val="0"/>
                <w:kern w:val="36"/>
                <w:sz w:val="24"/>
                <w:szCs w:val="24"/>
                <w:highlight w:val="none"/>
                <w:vertAlign w:val="baseline"/>
                <w:lang w:val="en-US" w:eastAsia="zh-CN"/>
              </w:rPr>
            </w:pPr>
            <w:r>
              <w:rPr>
                <w:rFonts w:hint="eastAsia" w:ascii="仿宋" w:hAnsi="仿宋" w:eastAsia="仿宋" w:cs="仿宋"/>
                <w:kern w:val="0"/>
                <w:sz w:val="24"/>
                <w:szCs w:val="24"/>
                <w:highlight w:val="none"/>
              </w:rPr>
              <w:t>（15）</w:t>
            </w:r>
            <w:r>
              <w:rPr>
                <w:rFonts w:hint="eastAsia" w:ascii="仿宋" w:hAnsi="仿宋" w:eastAsia="仿宋" w:cs="仿宋"/>
                <w:kern w:val="0"/>
                <w:sz w:val="24"/>
                <w:szCs w:val="24"/>
                <w:highlight w:val="yellow"/>
              </w:rPr>
              <w:t>所有科研成果需提交刊物原件或网络发表为准，其中网络发表需要有期刊刊发日期、页码和检索证明</w:t>
            </w:r>
            <w:r>
              <w:rPr>
                <w:rFonts w:hint="eastAsia" w:ascii="仿宋" w:hAnsi="仿宋" w:eastAsia="仿宋" w:cs="仿宋"/>
                <w:kern w:val="0"/>
                <w:sz w:val="24"/>
                <w:szCs w:val="24"/>
                <w:highlight w:val="yellow"/>
                <w:lang w:eastAsia="zh-CN"/>
              </w:rPr>
              <w:t>（</w:t>
            </w:r>
            <w:r>
              <w:rPr>
                <w:rFonts w:hint="eastAsia" w:ascii="仿宋" w:hAnsi="仿宋" w:eastAsia="仿宋" w:cs="仿宋"/>
                <w:kern w:val="0"/>
                <w:sz w:val="24"/>
                <w:szCs w:val="24"/>
                <w:highlight w:val="yellow"/>
                <w:lang w:val="en-US" w:eastAsia="zh-CN"/>
              </w:rPr>
              <w:t>刊发日期以检索证明上出版年为准）</w:t>
            </w:r>
            <w:r>
              <w:rPr>
                <w:rFonts w:hint="eastAsia" w:ascii="仿宋" w:hAnsi="仿宋" w:eastAsia="仿宋" w:cs="仿宋"/>
                <w:kern w:val="0"/>
                <w:sz w:val="24"/>
                <w:szCs w:val="24"/>
                <w:highlight w:val="yellow"/>
              </w:rPr>
              <w:t>，录用通知书不予加分。</w:t>
            </w:r>
          </w:p>
        </w:tc>
        <w:tc>
          <w:tcPr>
            <w:tcW w:w="3885" w:type="dxa"/>
          </w:tcPr>
          <w:p w14:paraId="44111430">
            <w:pPr>
              <w:adjustRightInd w:val="0"/>
              <w:snapToGrid w:val="0"/>
              <w:spacing w:line="288" w:lineRule="auto"/>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lang w:val="en-US" w:eastAsia="zh-CN"/>
              </w:rPr>
              <w:t>第十四条</w:t>
            </w:r>
            <w:r>
              <w:rPr>
                <w:rFonts w:hint="eastAsia" w:ascii="仿宋" w:hAnsi="仿宋" w:eastAsia="仿宋" w:cs="仿宋"/>
                <w:kern w:val="0"/>
                <w:sz w:val="24"/>
                <w:szCs w:val="24"/>
                <w:highlight w:val="none"/>
              </w:rPr>
              <w:t>智育模块</w:t>
            </w:r>
          </w:p>
          <w:p w14:paraId="533F6354">
            <w:pPr>
              <w:adjustRightInd w:val="0"/>
              <w:snapToGrid w:val="0"/>
              <w:spacing w:line="288" w:lineRule="auto"/>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（三）科研分</w:t>
            </w:r>
          </w:p>
          <w:p w14:paraId="08A36DF5">
            <w:pPr>
              <w:adjustRightInd w:val="0"/>
              <w:snapToGrid w:val="0"/>
              <w:spacing w:line="288" w:lineRule="auto"/>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2．科研能力分</w:t>
            </w:r>
          </w:p>
          <w:p w14:paraId="70020C63">
            <w:pPr>
              <w:adjustRightInd w:val="0"/>
              <w:snapToGrid w:val="0"/>
              <w:spacing w:line="240" w:lineRule="auto"/>
              <w:ind w:firstLine="480" w:firstLineChars="200"/>
              <w:jc w:val="left"/>
              <w:rPr>
                <w:rFonts w:hint="default" w:eastAsia="方正小标宋简体"/>
                <w:b/>
                <w:bCs w:val="0"/>
                <w:kern w:val="36"/>
                <w:sz w:val="24"/>
                <w:szCs w:val="24"/>
                <w:highlight w:val="none"/>
                <w:vertAlign w:val="baseline"/>
                <w:lang w:val="en-US" w:eastAsia="zh-CN"/>
              </w:rPr>
            </w:pPr>
            <w:r>
              <w:rPr>
                <w:rFonts w:hint="eastAsia" w:ascii="仿宋" w:hAnsi="仿宋" w:eastAsia="仿宋" w:cs="仿宋"/>
                <w:kern w:val="0"/>
                <w:sz w:val="24"/>
                <w:szCs w:val="24"/>
                <w:highlight w:val="none"/>
              </w:rPr>
              <w:t>（15）</w:t>
            </w:r>
            <w:r>
              <w:rPr>
                <w:rFonts w:hint="eastAsia" w:ascii="仿宋" w:hAnsi="仿宋" w:eastAsia="仿宋" w:cs="仿宋"/>
                <w:kern w:val="0"/>
                <w:sz w:val="24"/>
                <w:szCs w:val="24"/>
                <w:highlight w:val="yellow"/>
              </w:rPr>
              <w:t>所有科研成果以正式发表或在线发表为准：其中正式发表需提供发表刊物纸质原件或由学校图书馆所开具的检索证明</w:t>
            </w:r>
            <w:r>
              <w:rPr>
                <w:rFonts w:hint="eastAsia" w:ascii="仿宋" w:hAnsi="仿宋" w:eastAsia="仿宋" w:cs="仿宋"/>
                <w:kern w:val="0"/>
                <w:sz w:val="24"/>
                <w:szCs w:val="24"/>
                <w:highlight w:val="yellow"/>
                <w:lang w:eastAsia="zh-CN"/>
              </w:rPr>
              <w:t>，</w:t>
            </w:r>
            <w:r>
              <w:rPr>
                <w:rFonts w:hint="eastAsia" w:ascii="仿宋" w:hAnsi="仿宋" w:eastAsia="仿宋" w:cs="仿宋"/>
                <w:kern w:val="0"/>
                <w:sz w:val="24"/>
                <w:szCs w:val="24"/>
                <w:highlight w:val="yellow"/>
                <w:lang w:val="en-US" w:eastAsia="zh-CN"/>
              </w:rPr>
              <w:t>成果取得时间以其正式发表时间为准</w:t>
            </w:r>
            <w:r>
              <w:rPr>
                <w:rFonts w:hint="eastAsia" w:ascii="仿宋" w:hAnsi="仿宋" w:eastAsia="仿宋" w:cs="仿宋"/>
                <w:kern w:val="0"/>
                <w:sz w:val="24"/>
                <w:szCs w:val="24"/>
                <w:highlight w:val="yellow"/>
              </w:rPr>
              <w:t>；在线发表需提供发表刊物对应官网或被收录数据库（例如IEEE Xplore、ACM Digital Library等）中的成果发布截图</w:t>
            </w:r>
            <w:r>
              <w:rPr>
                <w:rFonts w:hint="eastAsia" w:ascii="仿宋" w:hAnsi="仿宋" w:eastAsia="仿宋" w:cs="仿宋"/>
                <w:kern w:val="0"/>
                <w:sz w:val="24"/>
                <w:szCs w:val="24"/>
                <w:highlight w:val="yellow"/>
                <w:lang w:eastAsia="zh-CN"/>
              </w:rPr>
              <w:t>，</w:t>
            </w:r>
            <w:r>
              <w:rPr>
                <w:rFonts w:hint="eastAsia" w:ascii="仿宋" w:hAnsi="仿宋" w:eastAsia="仿宋" w:cs="仿宋"/>
                <w:kern w:val="0"/>
                <w:sz w:val="24"/>
                <w:szCs w:val="24"/>
                <w:highlight w:val="yellow"/>
                <w:lang w:val="en-US" w:eastAsia="zh-CN"/>
              </w:rPr>
              <w:t>成果取得时间以其在线发表时间为准</w:t>
            </w:r>
            <w:r>
              <w:rPr>
                <w:rFonts w:hint="eastAsia" w:ascii="仿宋" w:hAnsi="仿宋" w:eastAsia="仿宋" w:cs="仿宋"/>
                <w:kern w:val="0"/>
                <w:sz w:val="24"/>
                <w:szCs w:val="24"/>
                <w:highlight w:val="yellow"/>
              </w:rPr>
              <w:t>。</w:t>
            </w:r>
            <w:r>
              <w:rPr>
                <w:rFonts w:hint="eastAsia" w:ascii="仿宋" w:hAnsi="仿宋" w:eastAsia="仿宋" w:cs="仿宋"/>
                <w:kern w:val="0"/>
                <w:sz w:val="24"/>
                <w:szCs w:val="24"/>
                <w:highlight w:val="yellow"/>
                <w:lang w:val="en-US" w:eastAsia="zh-CN"/>
              </w:rPr>
              <w:t>所有科研成果的定级遵循成果取得当年的定级标准。</w:t>
            </w:r>
          </w:p>
        </w:tc>
      </w:tr>
      <w:tr w14:paraId="32E7B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tcPr>
          <w:p w14:paraId="2178E9C9">
            <w:pPr>
              <w:adjustRightInd w:val="0"/>
              <w:snapToGrid w:val="0"/>
              <w:spacing w:line="240" w:lineRule="auto"/>
              <w:jc w:val="left"/>
              <w:rPr>
                <w:rFonts w:hint="eastAsia" w:ascii="仿宋" w:hAnsi="仿宋" w:eastAsia="仿宋" w:cs="仿宋"/>
                <w:bCs/>
                <w:kern w:val="0"/>
                <w:sz w:val="24"/>
                <w:szCs w:val="24"/>
                <w:highlight w:val="none"/>
                <w:lang w:val="en-US" w:eastAsia="zh-CN"/>
              </w:rPr>
            </w:pPr>
            <w:r>
              <w:rPr>
                <w:rFonts w:hint="eastAsia" w:ascii="仿宋" w:hAnsi="仿宋" w:eastAsia="仿宋" w:cs="仿宋"/>
                <w:bCs/>
                <w:kern w:val="0"/>
                <w:sz w:val="24"/>
                <w:szCs w:val="24"/>
                <w:highlight w:val="none"/>
                <w:lang w:val="en-US" w:eastAsia="zh-CN"/>
              </w:rPr>
              <w:t>5</w:t>
            </w:r>
          </w:p>
        </w:tc>
        <w:tc>
          <w:tcPr>
            <w:tcW w:w="3762" w:type="dxa"/>
          </w:tcPr>
          <w:p w14:paraId="2A06E2C2">
            <w:pPr>
              <w:adjustRightInd w:val="0"/>
              <w:snapToGrid w:val="0"/>
              <w:spacing w:line="288" w:lineRule="auto"/>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lang w:val="en-US" w:eastAsia="zh-CN"/>
              </w:rPr>
              <w:t>第十四条</w:t>
            </w:r>
            <w:r>
              <w:rPr>
                <w:rFonts w:hint="eastAsia" w:ascii="仿宋" w:hAnsi="仿宋" w:eastAsia="仿宋" w:cs="仿宋"/>
                <w:kern w:val="0"/>
                <w:sz w:val="24"/>
                <w:szCs w:val="24"/>
                <w:highlight w:val="none"/>
              </w:rPr>
              <w:t>智育模块</w:t>
            </w:r>
          </w:p>
          <w:p w14:paraId="37FAF7FF">
            <w:pPr>
              <w:adjustRightInd w:val="0"/>
              <w:snapToGrid w:val="0"/>
              <w:spacing w:line="288" w:lineRule="auto"/>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（三）科研分</w:t>
            </w:r>
          </w:p>
          <w:p w14:paraId="6EC37531">
            <w:pPr>
              <w:adjustRightInd w:val="0"/>
              <w:snapToGrid w:val="0"/>
              <w:spacing w:line="288" w:lineRule="auto"/>
              <w:ind w:firstLine="480" w:firstLineChars="200"/>
              <w:rPr>
                <w:rFonts w:hint="eastAsia"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rPr>
              <w:t>学科竞赛</w:t>
            </w:r>
          </w:p>
          <w:p w14:paraId="432AD276">
            <w:pPr>
              <w:adjustRightInd w:val="0"/>
              <w:snapToGrid w:val="0"/>
              <w:spacing w:line="288" w:lineRule="auto"/>
              <w:ind w:firstLine="480" w:firstLineChars="200"/>
              <w:rPr>
                <w:rFonts w:hint="default" w:eastAsia="方正小标宋简体"/>
                <w:b/>
                <w:bCs w:val="0"/>
                <w:kern w:val="36"/>
                <w:sz w:val="36"/>
                <w:szCs w:val="36"/>
                <w:highlight w:val="none"/>
                <w:vertAlign w:val="baseline"/>
                <w:lang w:val="en-US" w:eastAsia="zh-CN"/>
              </w:rPr>
            </w:pPr>
            <w:r>
              <w:rPr>
                <w:rFonts w:hint="eastAsia" w:ascii="仿宋" w:hAnsi="仿宋" w:eastAsia="仿宋" w:cs="仿宋"/>
                <w:kern w:val="0"/>
                <w:sz w:val="24"/>
                <w:szCs w:val="24"/>
                <w:highlight w:val="none"/>
              </w:rPr>
              <w:t>（3）</w:t>
            </w:r>
            <w:r>
              <w:rPr>
                <w:rFonts w:hint="eastAsia" w:ascii="仿宋" w:hAnsi="仿宋" w:eastAsia="仿宋" w:cs="仿宋"/>
                <w:color w:val="000000"/>
                <w:spacing w:val="6"/>
                <w:sz w:val="24"/>
                <w:szCs w:val="24"/>
                <w:highlight w:val="yellow"/>
              </w:rPr>
              <w:t>同一竞赛（如存在层级选拔关系的比赛）获奖取其最高加分予以奖励，不同竞赛加分可累计。</w:t>
            </w:r>
          </w:p>
        </w:tc>
        <w:tc>
          <w:tcPr>
            <w:tcW w:w="3885" w:type="dxa"/>
          </w:tcPr>
          <w:p w14:paraId="61F5B464">
            <w:pPr>
              <w:adjustRightInd w:val="0"/>
              <w:snapToGrid w:val="0"/>
              <w:spacing w:line="288" w:lineRule="auto"/>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lang w:val="en-US" w:eastAsia="zh-CN"/>
              </w:rPr>
              <w:t>第十四条</w:t>
            </w:r>
            <w:r>
              <w:rPr>
                <w:rFonts w:hint="eastAsia" w:ascii="仿宋" w:hAnsi="仿宋" w:eastAsia="仿宋" w:cs="仿宋"/>
                <w:kern w:val="0"/>
                <w:sz w:val="24"/>
                <w:szCs w:val="24"/>
                <w:highlight w:val="none"/>
              </w:rPr>
              <w:t>智育模块</w:t>
            </w:r>
          </w:p>
          <w:p w14:paraId="13B3CF0B">
            <w:pPr>
              <w:adjustRightInd w:val="0"/>
              <w:snapToGrid w:val="0"/>
              <w:spacing w:line="288" w:lineRule="auto"/>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（三）科研分</w:t>
            </w:r>
          </w:p>
          <w:p w14:paraId="67D3C247">
            <w:pPr>
              <w:adjustRightInd w:val="0"/>
              <w:snapToGrid w:val="0"/>
              <w:spacing w:line="288" w:lineRule="auto"/>
              <w:ind w:firstLine="480" w:firstLineChars="200"/>
              <w:rPr>
                <w:rFonts w:hint="eastAsia"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rPr>
              <w:t>学科竞赛</w:t>
            </w:r>
          </w:p>
          <w:p w14:paraId="2F5D12E3">
            <w:pPr>
              <w:adjustRightInd w:val="0"/>
              <w:snapToGrid w:val="0"/>
              <w:spacing w:line="288" w:lineRule="auto"/>
              <w:ind w:firstLine="480" w:firstLineChars="200"/>
              <w:rPr>
                <w:rFonts w:hint="default" w:eastAsia="方正小标宋简体"/>
                <w:b/>
                <w:bCs w:val="0"/>
                <w:kern w:val="36"/>
                <w:sz w:val="36"/>
                <w:szCs w:val="36"/>
                <w:highlight w:val="none"/>
                <w:vertAlign w:val="baseline"/>
                <w:lang w:val="en-US" w:eastAsia="zh-CN"/>
              </w:rPr>
            </w:pPr>
            <w:r>
              <w:rPr>
                <w:rFonts w:hint="eastAsia" w:ascii="仿宋" w:hAnsi="仿宋" w:eastAsia="仿宋" w:cs="仿宋"/>
                <w:kern w:val="0"/>
                <w:sz w:val="24"/>
                <w:szCs w:val="24"/>
                <w:highlight w:val="none"/>
              </w:rPr>
              <w:t>（3）</w:t>
            </w:r>
            <w:r>
              <w:rPr>
                <w:rFonts w:hint="eastAsia" w:ascii="仿宋" w:hAnsi="仿宋" w:eastAsia="仿宋" w:cs="仿宋"/>
                <w:kern w:val="0"/>
                <w:sz w:val="24"/>
                <w:szCs w:val="24"/>
                <w:highlight w:val="yellow"/>
                <w:lang w:val="en-US" w:eastAsia="zh-CN"/>
              </w:rPr>
              <w:t>有逐层选拔关系的竞赛跨学年可累加，但加分为获奖等级对应分数的差额；不同竞赛的加分可累计。</w:t>
            </w:r>
          </w:p>
        </w:tc>
      </w:tr>
      <w:tr w14:paraId="37422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tcPr>
          <w:p w14:paraId="1D1B0E0E">
            <w:pPr>
              <w:adjustRightInd w:val="0"/>
              <w:snapToGrid w:val="0"/>
              <w:spacing w:line="240" w:lineRule="auto"/>
              <w:jc w:val="left"/>
              <w:rPr>
                <w:rFonts w:hint="default" w:ascii="仿宋" w:hAnsi="仿宋" w:eastAsia="仿宋" w:cs="仿宋"/>
                <w:bCs/>
                <w:kern w:val="0"/>
                <w:sz w:val="24"/>
                <w:szCs w:val="24"/>
                <w:highlight w:val="none"/>
                <w:lang w:val="en-US" w:eastAsia="zh-CN"/>
              </w:rPr>
            </w:pPr>
            <w:r>
              <w:rPr>
                <w:rFonts w:hint="eastAsia" w:ascii="仿宋" w:hAnsi="仿宋" w:eastAsia="仿宋" w:cs="仿宋"/>
                <w:bCs/>
                <w:kern w:val="0"/>
                <w:sz w:val="24"/>
                <w:szCs w:val="24"/>
                <w:highlight w:val="none"/>
                <w:lang w:val="en-US" w:eastAsia="zh-CN"/>
              </w:rPr>
              <w:t>6</w:t>
            </w:r>
          </w:p>
        </w:tc>
        <w:tc>
          <w:tcPr>
            <w:tcW w:w="3762" w:type="dxa"/>
          </w:tcPr>
          <w:p w14:paraId="69DB7416">
            <w:pPr>
              <w:adjustRightInd w:val="0"/>
              <w:snapToGrid w:val="0"/>
              <w:spacing w:line="288" w:lineRule="auto"/>
              <w:ind w:firstLine="480" w:firstLineChars="200"/>
              <w:rPr>
                <w:rFonts w:hint="eastAsia" w:ascii="仿宋" w:hAnsi="仿宋" w:eastAsia="仿宋" w:cs="仿宋"/>
                <w:bCs/>
                <w:sz w:val="24"/>
                <w:szCs w:val="24"/>
                <w:highlight w:val="none"/>
              </w:rPr>
            </w:pPr>
            <w:r>
              <w:rPr>
                <w:rFonts w:hint="eastAsia" w:ascii="仿宋" w:hAnsi="仿宋" w:eastAsia="仿宋" w:cs="仿宋"/>
                <w:bCs/>
                <w:sz w:val="24"/>
                <w:szCs w:val="24"/>
                <w:highlight w:val="none"/>
              </w:rPr>
              <w:t>第十五条体美劳育模块</w:t>
            </w:r>
          </w:p>
          <w:p w14:paraId="6193A523">
            <w:pPr>
              <w:adjustRightInd w:val="0"/>
              <w:snapToGrid w:val="0"/>
              <w:spacing w:line="288" w:lineRule="auto"/>
              <w:ind w:firstLine="480" w:firstLineChars="200"/>
              <w:rPr>
                <w:rFonts w:hint="eastAsia" w:ascii="仿宋" w:hAnsi="仿宋" w:eastAsia="仿宋" w:cs="仿宋"/>
                <w:bCs/>
                <w:sz w:val="24"/>
                <w:szCs w:val="24"/>
                <w:highlight w:val="none"/>
              </w:rPr>
            </w:pPr>
            <w:r>
              <w:rPr>
                <w:rFonts w:hint="eastAsia" w:ascii="仿宋" w:hAnsi="仿宋" w:eastAsia="仿宋" w:cs="仿宋"/>
                <w:bCs/>
                <w:sz w:val="24"/>
                <w:szCs w:val="24"/>
                <w:highlight w:val="none"/>
              </w:rPr>
              <w:t>（二）能力分</w:t>
            </w:r>
          </w:p>
          <w:p w14:paraId="5E782DEA">
            <w:pPr>
              <w:adjustRightInd w:val="0"/>
              <w:snapToGrid w:val="0"/>
              <w:spacing w:line="288" w:lineRule="auto"/>
              <w:ind w:firstLine="480" w:firstLineChars="200"/>
              <w:rPr>
                <w:rFonts w:hint="eastAsia" w:ascii="仿宋" w:hAnsi="仿宋" w:eastAsia="仿宋" w:cs="仿宋"/>
                <w:bCs/>
                <w:sz w:val="24"/>
                <w:szCs w:val="24"/>
                <w:highlight w:val="yellow"/>
              </w:rPr>
            </w:pPr>
            <w:r>
              <w:rPr>
                <w:rFonts w:hint="eastAsia" w:ascii="仿宋" w:hAnsi="仿宋" w:eastAsia="仿宋" w:cs="仿宋"/>
                <w:bCs/>
                <w:sz w:val="24"/>
                <w:szCs w:val="24"/>
                <w:highlight w:val="yellow"/>
              </w:rPr>
              <w:t>研究生在参加各类社会实践、志愿服务、非专业的文体赛事（含体育、文艺、美术、摄影等，如校（院）运动会、趣味运动会、十佳歌手比赛、迎新晚会、排球赛、篮球赛、演讲赛、新生辩论赛</w:t>
            </w:r>
            <w:r>
              <w:rPr>
                <w:rFonts w:hint="eastAsia" w:ascii="仿宋" w:hAnsi="仿宋" w:eastAsia="仿宋" w:cs="仿宋"/>
                <w:bCs/>
                <w:sz w:val="24"/>
                <w:szCs w:val="24"/>
                <w:highlight w:val="yellow"/>
                <w:lang w:eastAsia="zh-CN"/>
              </w:rPr>
              <w:t>、</w:t>
            </w:r>
            <w:r>
              <w:rPr>
                <w:rFonts w:hint="eastAsia" w:ascii="仿宋" w:hAnsi="仿宋" w:eastAsia="仿宋" w:cs="仿宋"/>
                <w:b w:val="0"/>
                <w:bCs/>
                <w:sz w:val="24"/>
                <w:szCs w:val="24"/>
                <w:highlight w:val="yellow"/>
                <w:lang w:val="en-US" w:eastAsia="zh-CN"/>
              </w:rPr>
              <w:t>研会星级评比</w:t>
            </w:r>
            <w:r>
              <w:rPr>
                <w:rFonts w:hint="eastAsia" w:ascii="仿宋" w:hAnsi="仿宋" w:eastAsia="仿宋" w:cs="仿宋"/>
                <w:bCs/>
                <w:sz w:val="24"/>
                <w:szCs w:val="24"/>
                <w:highlight w:val="yellow"/>
              </w:rPr>
              <w:t>等）中表现突出的，</w:t>
            </w:r>
            <w:r>
              <w:rPr>
                <w:rFonts w:hint="eastAsia" w:ascii="仿宋" w:hAnsi="仿宋" w:eastAsia="仿宋" w:cs="仿宋"/>
                <w:bCs/>
                <w:sz w:val="24"/>
                <w:szCs w:val="24"/>
                <w:highlight w:val="none"/>
              </w:rPr>
              <w:t>获荣誉称号者参照表2加分，获其他奖项者参照表7加分（</w:t>
            </w:r>
            <w:r>
              <w:rPr>
                <w:rFonts w:hint="eastAsia" w:ascii="仿宋" w:hAnsi="仿宋" w:eastAsia="仿宋" w:cs="仿宋"/>
                <w:kern w:val="0"/>
                <w:sz w:val="24"/>
                <w:szCs w:val="24"/>
                <w:highlight w:val="none"/>
              </w:rPr>
              <w:t>具体权重参照学科竞赛说明事项执行）</w:t>
            </w:r>
            <w:r>
              <w:rPr>
                <w:rFonts w:hint="eastAsia" w:ascii="仿宋" w:hAnsi="仿宋" w:eastAsia="仿宋" w:cs="仿宋"/>
                <w:bCs/>
                <w:sz w:val="24"/>
                <w:szCs w:val="24"/>
                <w:highlight w:val="none"/>
              </w:rPr>
              <w:t>。</w:t>
            </w:r>
          </w:p>
          <w:p w14:paraId="56E5C058">
            <w:pPr>
              <w:adjustRightInd w:val="0"/>
              <w:snapToGrid w:val="0"/>
              <w:spacing w:line="288" w:lineRule="auto"/>
              <w:ind w:firstLine="480" w:firstLineChars="200"/>
              <w:rPr>
                <w:rFonts w:hint="eastAsia" w:ascii="仿宋" w:hAnsi="仿宋" w:eastAsia="仿宋" w:cs="仿宋"/>
                <w:bCs/>
                <w:sz w:val="24"/>
                <w:szCs w:val="24"/>
                <w:highlight w:val="yellow"/>
              </w:rPr>
            </w:pPr>
            <w:r>
              <w:rPr>
                <w:rFonts w:hint="eastAsia" w:ascii="仿宋" w:hAnsi="仿宋" w:eastAsia="仿宋" w:cs="仿宋"/>
                <w:bCs/>
                <w:sz w:val="24"/>
                <w:szCs w:val="24"/>
                <w:highlight w:val="yellow"/>
              </w:rPr>
              <w:t>除学科竞赛范畴外的相关综合性赛事（学校、学院认可的除外）获奖的，不予加分。</w:t>
            </w:r>
          </w:p>
          <w:p w14:paraId="4D813D3F">
            <w:pPr>
              <w:adjustRightInd w:val="0"/>
              <w:snapToGrid w:val="0"/>
              <w:spacing w:line="288" w:lineRule="auto"/>
              <w:ind w:firstLine="480" w:firstLineChars="200"/>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按照名次奖励的赛事，国家级、省级、校级、院级则按照对应奖项加分：第1、2名参照一等奖加分，第3、4、5名参照二等奖加分，第6、7、8名参照三等奖加分，第9、10名参照优胜奖加分。</w:t>
            </w:r>
          </w:p>
          <w:p w14:paraId="2EE0AC29">
            <w:pPr>
              <w:adjustRightInd w:val="0"/>
              <w:snapToGrid w:val="0"/>
              <w:spacing w:line="288" w:lineRule="auto"/>
              <w:ind w:firstLine="480" w:firstLineChars="200"/>
              <w:rPr>
                <w:rFonts w:hint="eastAsia" w:ascii="仿宋" w:hAnsi="仿宋" w:eastAsia="仿宋" w:cs="仿宋"/>
                <w:bCs w:val="0"/>
                <w:color w:val="000000"/>
                <w:sz w:val="24"/>
                <w:szCs w:val="24"/>
                <w:highlight w:val="none"/>
              </w:rPr>
            </w:pPr>
            <w:r>
              <w:rPr>
                <w:rFonts w:hint="eastAsia" w:ascii="仿宋" w:hAnsi="仿宋" w:eastAsia="仿宋" w:cs="仿宋"/>
                <w:bCs w:val="0"/>
                <w:color w:val="000000"/>
                <w:sz w:val="24"/>
                <w:szCs w:val="24"/>
                <w:highlight w:val="yellow"/>
              </w:rPr>
              <w:t>其中3人以上视为多人参与，其加分办法为：核心成员权重为0.6，一般成员为0.4，不分先后则均为0.5。</w:t>
            </w:r>
          </w:p>
          <w:p w14:paraId="3E665A37">
            <w:pPr>
              <w:adjustRightInd w:val="0"/>
              <w:snapToGrid w:val="0"/>
              <w:spacing w:line="560" w:lineRule="exact"/>
              <w:ind w:firstLine="584" w:firstLineChars="200"/>
              <w:rPr>
                <w:rFonts w:hint="eastAsia" w:ascii="仿宋" w:hAnsi="仿宋" w:eastAsia="仿宋" w:cs="仿宋"/>
                <w:color w:val="000000"/>
                <w:spacing w:val="6"/>
                <w:sz w:val="28"/>
                <w:szCs w:val="28"/>
                <w:highlight w:val="yellow"/>
              </w:rPr>
            </w:pPr>
          </w:p>
        </w:tc>
        <w:tc>
          <w:tcPr>
            <w:tcW w:w="3885" w:type="dxa"/>
          </w:tcPr>
          <w:p w14:paraId="32CF0884">
            <w:pPr>
              <w:adjustRightInd w:val="0"/>
              <w:snapToGrid w:val="0"/>
              <w:spacing w:line="288" w:lineRule="auto"/>
              <w:ind w:firstLine="480" w:firstLineChars="200"/>
              <w:rPr>
                <w:rFonts w:hint="eastAsia" w:ascii="仿宋" w:hAnsi="仿宋" w:eastAsia="仿宋" w:cs="仿宋"/>
                <w:bCs/>
                <w:sz w:val="24"/>
                <w:szCs w:val="24"/>
                <w:highlight w:val="none"/>
              </w:rPr>
            </w:pPr>
            <w:r>
              <w:rPr>
                <w:rFonts w:hint="eastAsia" w:ascii="仿宋" w:hAnsi="仿宋" w:eastAsia="仿宋" w:cs="仿宋"/>
                <w:bCs/>
                <w:sz w:val="24"/>
                <w:szCs w:val="24"/>
                <w:highlight w:val="none"/>
              </w:rPr>
              <w:t>第十五条体美劳育模块</w:t>
            </w:r>
          </w:p>
          <w:p w14:paraId="50CBE54C">
            <w:pPr>
              <w:adjustRightInd w:val="0"/>
              <w:snapToGrid w:val="0"/>
              <w:spacing w:line="288" w:lineRule="auto"/>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（二）能力分</w:t>
            </w:r>
          </w:p>
          <w:p w14:paraId="678C4915">
            <w:pPr>
              <w:adjustRightInd w:val="0"/>
              <w:snapToGrid w:val="0"/>
              <w:spacing w:line="288" w:lineRule="auto"/>
              <w:ind w:firstLine="480" w:firstLineChars="200"/>
              <w:rPr>
                <w:rFonts w:hint="eastAsia" w:ascii="仿宋" w:hAnsi="仿宋" w:eastAsia="仿宋" w:cs="仿宋"/>
                <w:kern w:val="0"/>
                <w:sz w:val="24"/>
                <w:szCs w:val="24"/>
                <w:highlight w:val="none"/>
                <w:lang w:eastAsia="zh-CN"/>
              </w:rPr>
            </w:pPr>
            <w:r>
              <w:rPr>
                <w:rFonts w:hint="eastAsia" w:ascii="仿宋" w:hAnsi="仿宋" w:eastAsia="仿宋" w:cs="仿宋"/>
                <w:kern w:val="0"/>
                <w:sz w:val="24"/>
                <w:szCs w:val="24"/>
                <w:highlight w:val="yellow"/>
              </w:rPr>
              <w:t>研究生参加除学科竞赛</w:t>
            </w:r>
            <w:r>
              <w:rPr>
                <w:rFonts w:hint="eastAsia" w:ascii="仿宋" w:hAnsi="仿宋" w:eastAsia="仿宋" w:cs="仿宋"/>
                <w:kern w:val="0"/>
                <w:sz w:val="24"/>
                <w:szCs w:val="24"/>
                <w:highlight w:val="yellow"/>
                <w:lang w:val="en-US" w:eastAsia="zh-CN"/>
              </w:rPr>
              <w:t>清单（附件一）</w:t>
            </w:r>
            <w:r>
              <w:rPr>
                <w:rFonts w:hint="eastAsia" w:ascii="仿宋" w:hAnsi="仿宋" w:eastAsia="仿宋" w:cs="仿宋"/>
                <w:kern w:val="0"/>
                <w:sz w:val="24"/>
                <w:szCs w:val="24"/>
                <w:highlight w:val="yellow"/>
              </w:rPr>
              <w:t>中列举的比赛</w:t>
            </w:r>
            <w:r>
              <w:rPr>
                <w:rFonts w:hint="eastAsia" w:ascii="仿宋" w:hAnsi="仿宋" w:eastAsia="仿宋" w:cs="仿宋"/>
                <w:kern w:val="0"/>
                <w:sz w:val="24"/>
                <w:szCs w:val="24"/>
                <w:highlight w:val="yellow"/>
                <w:lang w:eastAsia="zh-CN"/>
              </w:rPr>
              <w:t>，</w:t>
            </w:r>
            <w:r>
              <w:rPr>
                <w:rFonts w:hint="eastAsia" w:ascii="仿宋" w:hAnsi="仿宋" w:eastAsia="仿宋" w:cs="仿宋"/>
                <w:kern w:val="0"/>
                <w:sz w:val="24"/>
                <w:szCs w:val="24"/>
                <w:highlight w:val="yellow"/>
              </w:rPr>
              <w:t>含体育、文艺、美术、摄影等，如校（院）运动会、趣味运动会、十佳歌手比赛、迎新晚会、排球赛、篮球赛、演讲赛、新生辩论赛</w:t>
            </w:r>
            <w:r>
              <w:rPr>
                <w:rFonts w:hint="eastAsia" w:ascii="仿宋" w:hAnsi="仿宋" w:eastAsia="仿宋" w:cs="仿宋"/>
                <w:kern w:val="0"/>
                <w:sz w:val="24"/>
                <w:szCs w:val="24"/>
                <w:highlight w:val="yellow"/>
                <w:lang w:eastAsia="zh-CN"/>
              </w:rPr>
              <w:t>、</w:t>
            </w:r>
            <w:r>
              <w:rPr>
                <w:rFonts w:hint="eastAsia" w:ascii="仿宋" w:hAnsi="仿宋" w:eastAsia="仿宋" w:cs="仿宋"/>
                <w:kern w:val="0"/>
                <w:sz w:val="24"/>
                <w:szCs w:val="24"/>
                <w:highlight w:val="yellow"/>
                <w:lang w:val="en-US" w:eastAsia="zh-CN"/>
              </w:rPr>
              <w:t>研会星级评比</w:t>
            </w:r>
            <w:r>
              <w:rPr>
                <w:rFonts w:hint="eastAsia" w:ascii="仿宋" w:hAnsi="仿宋" w:eastAsia="仿宋" w:cs="仿宋"/>
                <w:kern w:val="0"/>
                <w:sz w:val="24"/>
                <w:szCs w:val="24"/>
                <w:highlight w:val="yellow"/>
              </w:rPr>
              <w:t>等社会实践、志愿服务</w:t>
            </w:r>
            <w:r>
              <w:rPr>
                <w:rFonts w:hint="eastAsia" w:ascii="仿宋" w:hAnsi="仿宋" w:eastAsia="仿宋" w:cs="仿宋"/>
                <w:kern w:val="0"/>
                <w:sz w:val="24"/>
                <w:szCs w:val="24"/>
                <w:highlight w:val="yellow"/>
                <w:lang w:val="en-US" w:eastAsia="zh-CN"/>
              </w:rPr>
              <w:t>及</w:t>
            </w:r>
            <w:r>
              <w:rPr>
                <w:rFonts w:hint="eastAsia" w:ascii="仿宋" w:hAnsi="仿宋" w:eastAsia="仿宋" w:cs="仿宋"/>
                <w:kern w:val="0"/>
                <w:sz w:val="24"/>
                <w:szCs w:val="24"/>
                <w:highlight w:val="yellow"/>
              </w:rPr>
              <w:t>非专业的文体赛事</w:t>
            </w:r>
            <w:r>
              <w:rPr>
                <w:rFonts w:hint="eastAsia" w:ascii="仿宋" w:hAnsi="仿宋" w:eastAsia="仿宋" w:cs="仿宋"/>
                <w:kern w:val="0"/>
                <w:sz w:val="24"/>
                <w:szCs w:val="24"/>
                <w:highlight w:val="yellow"/>
                <w:lang w:eastAsia="zh-CN"/>
              </w:rPr>
              <w:t>，表现突出的</w:t>
            </w:r>
            <w:r>
              <w:rPr>
                <w:rFonts w:hint="eastAsia" w:ascii="仿宋" w:hAnsi="仿宋" w:eastAsia="仿宋" w:cs="仿宋"/>
                <w:kern w:val="0"/>
                <w:sz w:val="24"/>
                <w:szCs w:val="24"/>
                <w:highlight w:val="none"/>
                <w:lang w:eastAsia="zh-CN"/>
              </w:rPr>
              <w:t>，获荣誉称号者参照表2加分，获其他奖项者参照表7加分（具体权重参照学科竞赛说明事项执行）。</w:t>
            </w:r>
          </w:p>
          <w:p w14:paraId="670C24C9">
            <w:pPr>
              <w:adjustRightInd w:val="0"/>
              <w:snapToGrid w:val="0"/>
              <w:spacing w:line="288" w:lineRule="auto"/>
              <w:ind w:firstLine="480" w:firstLineChars="200"/>
              <w:rPr>
                <w:rFonts w:hint="eastAsia" w:ascii="仿宋" w:hAnsi="仿宋" w:eastAsia="仿宋" w:cs="仿宋"/>
                <w:kern w:val="0"/>
                <w:sz w:val="24"/>
                <w:szCs w:val="24"/>
                <w:highlight w:val="yellow"/>
                <w:lang w:eastAsia="zh-CN"/>
              </w:rPr>
            </w:pPr>
            <w:r>
              <w:rPr>
                <w:rFonts w:hint="eastAsia" w:ascii="仿宋" w:hAnsi="仿宋" w:eastAsia="仿宋" w:cs="仿宋"/>
                <w:kern w:val="0"/>
                <w:sz w:val="24"/>
                <w:szCs w:val="24"/>
                <w:highlight w:val="yellow"/>
                <w:lang w:eastAsia="zh-CN"/>
              </w:rPr>
              <w:t>鼓励参加校内综合性比赛。</w:t>
            </w:r>
            <w:r>
              <w:rPr>
                <w:rFonts w:hint="eastAsia" w:ascii="仿宋" w:hAnsi="仿宋" w:eastAsia="仿宋" w:cs="仿宋"/>
                <w:kern w:val="0"/>
                <w:sz w:val="24"/>
                <w:szCs w:val="24"/>
                <w:highlight w:val="yellow"/>
              </w:rPr>
              <w:t>参加</w:t>
            </w:r>
            <w:r>
              <w:rPr>
                <w:rFonts w:hint="eastAsia" w:ascii="仿宋" w:hAnsi="仿宋" w:eastAsia="仿宋" w:cs="仿宋"/>
                <w:kern w:val="0"/>
                <w:sz w:val="24"/>
                <w:szCs w:val="24"/>
                <w:highlight w:val="yellow"/>
                <w:lang w:val="en-US" w:eastAsia="zh-CN"/>
              </w:rPr>
              <w:t>学院举办的</w:t>
            </w:r>
            <w:r>
              <w:rPr>
                <w:rFonts w:hint="eastAsia" w:ascii="仿宋" w:hAnsi="仿宋" w:eastAsia="仿宋" w:cs="仿宋"/>
                <w:kern w:val="0"/>
                <w:sz w:val="24"/>
                <w:szCs w:val="24"/>
                <w:highlight w:val="yellow"/>
              </w:rPr>
              <w:t>综合性比赛，如未获奖，每参加1项可加0.5分，累计不超过1分。</w:t>
            </w:r>
            <w:r>
              <w:rPr>
                <w:rFonts w:hint="eastAsia" w:ascii="仿宋" w:hAnsi="仿宋" w:eastAsia="仿宋" w:cs="仿宋"/>
                <w:kern w:val="0"/>
                <w:sz w:val="24"/>
                <w:szCs w:val="24"/>
                <w:highlight w:val="yellow"/>
                <w:lang w:eastAsia="zh-CN"/>
              </w:rPr>
              <w:t>参加各类网络、校外线下综合性比赛，需经学院综测小组认定，一般按院级认定，限加2项。</w:t>
            </w:r>
          </w:p>
          <w:p w14:paraId="498DACD3">
            <w:pPr>
              <w:adjustRightInd w:val="0"/>
              <w:snapToGrid w:val="0"/>
              <w:spacing w:line="288" w:lineRule="auto"/>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按照名次奖励的赛事，国家级、省级、校级、院级则按照对应奖项加分：第1、2名参照一等奖加分，第3、4、5名参照二等奖加分，第6、7、8名参照三等奖加分，第9、10名参照优胜奖加分。</w:t>
            </w:r>
          </w:p>
          <w:p w14:paraId="634E2977">
            <w:pPr>
              <w:adjustRightInd w:val="0"/>
              <w:snapToGrid w:val="0"/>
              <w:spacing w:line="288" w:lineRule="auto"/>
              <w:ind w:firstLine="480" w:firstLineChars="200"/>
              <w:rPr>
                <w:rFonts w:hint="eastAsia" w:ascii="仿宋" w:hAnsi="仿宋" w:eastAsia="仿宋" w:cs="仿宋"/>
                <w:color w:val="000000"/>
                <w:spacing w:val="6"/>
                <w:sz w:val="28"/>
                <w:szCs w:val="28"/>
                <w:highlight w:val="none"/>
              </w:rPr>
            </w:pPr>
            <w:r>
              <w:rPr>
                <w:rFonts w:hint="eastAsia" w:ascii="仿宋" w:hAnsi="仿宋" w:eastAsia="仿宋" w:cs="仿宋"/>
                <w:bCs w:val="0"/>
                <w:color w:val="000000"/>
                <w:sz w:val="24"/>
                <w:szCs w:val="24"/>
                <w:highlight w:val="yellow"/>
              </w:rPr>
              <w:t>其中3人以上视为多人参与，其加分办法为：核心成员</w:t>
            </w:r>
            <w:r>
              <w:rPr>
                <w:rFonts w:hint="eastAsia" w:ascii="仿宋" w:hAnsi="仿宋" w:eastAsia="仿宋" w:cs="仿宋"/>
                <w:bCs w:val="0"/>
                <w:color w:val="000000"/>
                <w:sz w:val="24"/>
                <w:szCs w:val="24"/>
                <w:highlight w:val="yellow"/>
                <w:lang w:val="en-US" w:eastAsia="zh-CN"/>
              </w:rPr>
              <w:t>平均分配对应等级奖励分值的60%</w:t>
            </w:r>
            <w:r>
              <w:rPr>
                <w:rFonts w:hint="eastAsia" w:ascii="仿宋" w:hAnsi="仿宋" w:eastAsia="仿宋" w:cs="仿宋"/>
                <w:bCs w:val="0"/>
                <w:color w:val="000000"/>
                <w:sz w:val="24"/>
                <w:szCs w:val="24"/>
                <w:highlight w:val="yellow"/>
              </w:rPr>
              <w:t>，一般成员</w:t>
            </w:r>
            <w:r>
              <w:rPr>
                <w:rFonts w:hint="eastAsia" w:ascii="仿宋" w:hAnsi="仿宋" w:eastAsia="仿宋" w:cs="仿宋"/>
                <w:bCs w:val="0"/>
                <w:color w:val="000000"/>
                <w:sz w:val="24"/>
                <w:szCs w:val="24"/>
                <w:highlight w:val="yellow"/>
                <w:lang w:val="en-US" w:eastAsia="zh-CN"/>
              </w:rPr>
              <w:t>平均分配对应等级奖励分值的40%</w:t>
            </w:r>
            <w:r>
              <w:rPr>
                <w:rFonts w:hint="eastAsia" w:ascii="仿宋" w:hAnsi="仿宋" w:eastAsia="仿宋" w:cs="仿宋"/>
                <w:bCs w:val="0"/>
                <w:color w:val="000000"/>
                <w:sz w:val="24"/>
                <w:szCs w:val="24"/>
                <w:highlight w:val="yellow"/>
                <w:lang w:eastAsia="zh-CN"/>
              </w:rPr>
              <w:t>；</w:t>
            </w:r>
            <w:r>
              <w:rPr>
                <w:rFonts w:hint="eastAsia" w:ascii="仿宋" w:hAnsi="仿宋" w:eastAsia="仿宋" w:cs="仿宋"/>
                <w:bCs w:val="0"/>
                <w:color w:val="000000"/>
                <w:sz w:val="24"/>
                <w:szCs w:val="24"/>
                <w:highlight w:val="yellow"/>
              </w:rPr>
              <w:t>不分先后</w:t>
            </w:r>
            <w:r>
              <w:rPr>
                <w:rFonts w:hint="eastAsia" w:ascii="仿宋" w:hAnsi="仿宋" w:eastAsia="仿宋" w:cs="仿宋"/>
                <w:bCs w:val="0"/>
                <w:color w:val="000000"/>
                <w:sz w:val="24"/>
                <w:szCs w:val="24"/>
                <w:highlight w:val="yellow"/>
                <w:lang w:val="en-US" w:eastAsia="zh-CN"/>
              </w:rPr>
              <w:t>的，</w:t>
            </w:r>
            <w:r>
              <w:rPr>
                <w:rFonts w:hint="eastAsia" w:ascii="仿宋" w:hAnsi="仿宋" w:eastAsia="仿宋" w:cs="仿宋"/>
                <w:bCs w:val="0"/>
                <w:color w:val="000000"/>
                <w:sz w:val="24"/>
                <w:szCs w:val="24"/>
                <w:highlight w:val="yellow"/>
              </w:rPr>
              <w:t>则平均分配对应等级奖励的总分值。</w:t>
            </w:r>
            <w:r>
              <w:rPr>
                <w:rFonts w:hint="eastAsia" w:ascii="仿宋" w:hAnsi="仿宋" w:eastAsia="仿宋" w:cs="仿宋"/>
                <w:bCs w:val="0"/>
                <w:color w:val="000000"/>
                <w:sz w:val="24"/>
                <w:szCs w:val="24"/>
                <w:highlight w:val="yellow"/>
                <w:lang w:val="en-US" w:eastAsia="zh-CN"/>
              </w:rPr>
              <w:t>（但参与人数超过5人时，均按20%加分）</w:t>
            </w:r>
            <w:r>
              <w:rPr>
                <w:rFonts w:hint="eastAsia" w:ascii="仿宋" w:hAnsi="仿宋" w:eastAsia="仿宋" w:cs="仿宋"/>
                <w:bCs w:val="0"/>
                <w:color w:val="000000"/>
                <w:sz w:val="24"/>
                <w:szCs w:val="24"/>
                <w:highlight w:val="yellow"/>
              </w:rPr>
              <w:t>。</w:t>
            </w:r>
          </w:p>
        </w:tc>
      </w:tr>
      <w:tr w14:paraId="539BF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tcPr>
          <w:p w14:paraId="61383FEA">
            <w:pPr>
              <w:adjustRightInd w:val="0"/>
              <w:snapToGrid w:val="0"/>
              <w:spacing w:line="240" w:lineRule="auto"/>
              <w:jc w:val="left"/>
              <w:rPr>
                <w:rFonts w:hint="eastAsia" w:ascii="仿宋" w:hAnsi="仿宋" w:eastAsia="仿宋" w:cs="仿宋"/>
                <w:bCs/>
                <w:kern w:val="0"/>
                <w:sz w:val="24"/>
                <w:szCs w:val="24"/>
                <w:highlight w:val="none"/>
                <w:lang w:val="en-US" w:eastAsia="zh-CN"/>
              </w:rPr>
            </w:pPr>
            <w:r>
              <w:rPr>
                <w:rFonts w:hint="eastAsia" w:ascii="仿宋" w:hAnsi="仿宋" w:eastAsia="仿宋" w:cs="仿宋"/>
                <w:bCs/>
                <w:kern w:val="0"/>
                <w:sz w:val="24"/>
                <w:szCs w:val="24"/>
                <w:highlight w:val="none"/>
                <w:lang w:val="en-US" w:eastAsia="zh-CN"/>
              </w:rPr>
              <w:t>7</w:t>
            </w:r>
          </w:p>
        </w:tc>
        <w:tc>
          <w:tcPr>
            <w:tcW w:w="3762" w:type="dxa"/>
          </w:tcPr>
          <w:p w14:paraId="4D69CE7E">
            <w:pPr>
              <w:adjustRightInd w:val="0"/>
              <w:snapToGrid w:val="0"/>
              <w:spacing w:line="288" w:lineRule="auto"/>
              <w:ind w:firstLine="480" w:firstLineChars="200"/>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第四章附则</w:t>
            </w:r>
          </w:p>
          <w:p w14:paraId="25D003FE">
            <w:pPr>
              <w:adjustRightInd w:val="0"/>
              <w:snapToGrid w:val="0"/>
              <w:spacing w:line="288" w:lineRule="auto"/>
              <w:ind w:firstLine="480" w:firstLineChars="200"/>
              <w:rPr>
                <w:rFonts w:hint="eastAsia" w:ascii="仿宋" w:hAnsi="仿宋" w:eastAsia="仿宋" w:cs="仿宋"/>
                <w:color w:val="000000"/>
                <w:spacing w:val="6"/>
                <w:sz w:val="28"/>
                <w:szCs w:val="28"/>
                <w:highlight w:val="yellow"/>
              </w:rPr>
            </w:pPr>
            <w:r>
              <w:rPr>
                <w:rFonts w:hint="eastAsia" w:ascii="仿宋" w:hAnsi="仿宋" w:eastAsia="仿宋" w:cs="仿宋"/>
                <w:color w:val="000000"/>
                <w:sz w:val="24"/>
                <w:szCs w:val="24"/>
                <w:highlight w:val="none"/>
              </w:rPr>
              <w:t>7.本细则自发布之日起执行，原《浙江师范大学计算机科学</w:t>
            </w:r>
            <w:r>
              <w:rPr>
                <w:rFonts w:hint="eastAsia" w:ascii="仿宋" w:hAnsi="仿宋" w:eastAsia="仿宋" w:cs="仿宋"/>
                <w:color w:val="000000"/>
                <w:sz w:val="24"/>
                <w:szCs w:val="24"/>
                <w:highlight w:val="none"/>
                <w:lang w:val="en-US" w:eastAsia="zh-CN"/>
              </w:rPr>
              <w:t>与技术</w:t>
            </w:r>
            <w:r>
              <w:rPr>
                <w:rFonts w:hint="eastAsia" w:ascii="仿宋" w:hAnsi="仿宋" w:eastAsia="仿宋" w:cs="仿宋"/>
                <w:color w:val="000000"/>
                <w:sz w:val="24"/>
                <w:szCs w:val="24"/>
                <w:highlight w:val="none"/>
              </w:rPr>
              <w:t>学院研究生综合测评实施细则（二）》即行废止。自</w:t>
            </w:r>
            <w:r>
              <w:rPr>
                <w:rFonts w:hint="eastAsia" w:ascii="仿宋" w:hAnsi="仿宋" w:eastAsia="仿宋" w:cs="仿宋"/>
                <w:color w:val="000000"/>
                <w:sz w:val="24"/>
                <w:szCs w:val="24"/>
                <w:highlight w:val="yellow"/>
              </w:rPr>
              <w:t>202</w:t>
            </w:r>
            <w:r>
              <w:rPr>
                <w:rFonts w:hint="eastAsia" w:ascii="仿宋" w:hAnsi="仿宋" w:eastAsia="仿宋" w:cs="仿宋"/>
                <w:color w:val="000000"/>
                <w:sz w:val="24"/>
                <w:szCs w:val="24"/>
                <w:highlight w:val="yellow"/>
                <w:lang w:val="en-US" w:eastAsia="zh-CN"/>
              </w:rPr>
              <w:t>2</w:t>
            </w:r>
            <w:r>
              <w:rPr>
                <w:rFonts w:hint="eastAsia" w:ascii="仿宋" w:hAnsi="仿宋" w:eastAsia="仿宋" w:cs="仿宋"/>
                <w:color w:val="000000"/>
                <w:sz w:val="24"/>
                <w:szCs w:val="24"/>
                <w:highlight w:val="yellow"/>
              </w:rPr>
              <w:t>级研究生</w:t>
            </w:r>
            <w:r>
              <w:rPr>
                <w:rFonts w:hint="eastAsia" w:ascii="仿宋" w:hAnsi="仿宋" w:eastAsia="仿宋" w:cs="仿宋"/>
                <w:color w:val="000000"/>
                <w:sz w:val="24"/>
                <w:szCs w:val="24"/>
                <w:highlight w:val="none"/>
              </w:rPr>
              <w:t>起执行，由学院学生工作领导小组负责解释。</w:t>
            </w:r>
          </w:p>
        </w:tc>
        <w:tc>
          <w:tcPr>
            <w:tcW w:w="3885" w:type="dxa"/>
          </w:tcPr>
          <w:p w14:paraId="132BCF2A">
            <w:pPr>
              <w:adjustRightInd w:val="0"/>
              <w:snapToGrid w:val="0"/>
              <w:spacing w:line="288" w:lineRule="auto"/>
              <w:ind w:firstLine="480" w:firstLineChars="200"/>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第四章附则</w:t>
            </w:r>
          </w:p>
          <w:p w14:paraId="6ED1BE23">
            <w:pPr>
              <w:adjustRightInd w:val="0"/>
              <w:snapToGrid w:val="0"/>
              <w:spacing w:line="288" w:lineRule="auto"/>
              <w:ind w:firstLine="480" w:firstLineChars="200"/>
              <w:rPr>
                <w:rFonts w:hint="eastAsia" w:ascii="仿宋" w:hAnsi="仿宋" w:eastAsia="仿宋" w:cs="仿宋"/>
                <w:color w:val="000000"/>
                <w:spacing w:val="6"/>
                <w:sz w:val="28"/>
                <w:szCs w:val="28"/>
                <w:highlight w:val="none"/>
              </w:rPr>
            </w:pPr>
            <w:r>
              <w:rPr>
                <w:rFonts w:hint="eastAsia" w:ascii="仿宋" w:hAnsi="仿宋" w:eastAsia="仿宋" w:cs="仿宋"/>
                <w:color w:val="000000"/>
                <w:sz w:val="24"/>
                <w:szCs w:val="24"/>
                <w:highlight w:val="none"/>
              </w:rPr>
              <w:t>7.本细则自发布之日起执行，原《浙江师范大学计算机科学</w:t>
            </w:r>
            <w:r>
              <w:rPr>
                <w:rFonts w:hint="eastAsia" w:ascii="仿宋" w:hAnsi="仿宋" w:eastAsia="仿宋" w:cs="仿宋"/>
                <w:color w:val="000000"/>
                <w:sz w:val="24"/>
                <w:szCs w:val="24"/>
                <w:highlight w:val="none"/>
                <w:lang w:val="en-US" w:eastAsia="zh-CN"/>
              </w:rPr>
              <w:t>与技术</w:t>
            </w:r>
            <w:r>
              <w:rPr>
                <w:rFonts w:hint="eastAsia" w:ascii="仿宋" w:hAnsi="仿宋" w:eastAsia="仿宋" w:cs="仿宋"/>
                <w:color w:val="000000"/>
                <w:sz w:val="24"/>
                <w:szCs w:val="24"/>
                <w:highlight w:val="none"/>
              </w:rPr>
              <w:t>学院研究生综合测评实施细则（二）》即行废止。自</w:t>
            </w:r>
            <w:r>
              <w:rPr>
                <w:rFonts w:hint="eastAsia" w:ascii="仿宋" w:hAnsi="仿宋" w:eastAsia="仿宋" w:cs="仿宋"/>
                <w:color w:val="000000"/>
                <w:sz w:val="24"/>
                <w:szCs w:val="24"/>
                <w:highlight w:val="yellow"/>
              </w:rPr>
              <w:t>2026年1月9日</w:t>
            </w:r>
            <w:r>
              <w:rPr>
                <w:rFonts w:hint="eastAsia" w:ascii="仿宋" w:hAnsi="仿宋" w:eastAsia="仿宋" w:cs="仿宋"/>
                <w:color w:val="000000"/>
                <w:sz w:val="24"/>
                <w:szCs w:val="24"/>
                <w:highlight w:val="none"/>
              </w:rPr>
              <w:t>起执行，由学院学生工作领导小组负责解释。</w:t>
            </w:r>
          </w:p>
        </w:tc>
      </w:tr>
      <w:tr w14:paraId="0BD7E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tcPr>
          <w:p w14:paraId="5BB2DD79">
            <w:pPr>
              <w:adjustRightInd w:val="0"/>
              <w:snapToGrid w:val="0"/>
              <w:spacing w:line="240" w:lineRule="auto"/>
              <w:jc w:val="left"/>
              <w:rPr>
                <w:rFonts w:hint="eastAsia" w:ascii="仿宋" w:hAnsi="仿宋" w:eastAsia="仿宋" w:cs="仿宋"/>
                <w:bCs/>
                <w:kern w:val="0"/>
                <w:sz w:val="24"/>
                <w:szCs w:val="24"/>
                <w:highlight w:val="none"/>
                <w:lang w:val="en-US" w:eastAsia="zh-CN"/>
              </w:rPr>
            </w:pPr>
            <w:r>
              <w:rPr>
                <w:rFonts w:hint="eastAsia" w:ascii="仿宋" w:hAnsi="仿宋" w:eastAsia="仿宋" w:cs="仿宋"/>
                <w:bCs/>
                <w:kern w:val="0"/>
                <w:sz w:val="24"/>
                <w:szCs w:val="24"/>
                <w:highlight w:val="none"/>
                <w:lang w:val="en-US" w:eastAsia="zh-CN"/>
              </w:rPr>
              <w:t>8</w:t>
            </w:r>
          </w:p>
        </w:tc>
        <w:tc>
          <w:tcPr>
            <w:tcW w:w="3762" w:type="dxa"/>
          </w:tcPr>
          <w:p w14:paraId="0C6E9FE8">
            <w:pPr>
              <w:adjustRightInd w:val="0"/>
              <w:snapToGrid w:val="0"/>
              <w:spacing w:line="288" w:lineRule="auto"/>
              <w:ind w:firstLine="480" w:firstLineChars="200"/>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附件一：</w:t>
            </w:r>
          </w:p>
          <w:p w14:paraId="2392E2EB">
            <w:pPr>
              <w:adjustRightInd w:val="0"/>
              <w:snapToGrid w:val="0"/>
              <w:spacing w:line="288" w:lineRule="auto"/>
              <w:ind w:firstLine="480" w:firstLineChars="200"/>
              <w:rPr>
                <w:rFonts w:hint="eastAsia" w:ascii="仿宋" w:hAnsi="仿宋" w:eastAsia="仿宋" w:cs="仿宋"/>
                <w:color w:val="000000"/>
                <w:spacing w:val="6"/>
                <w:sz w:val="28"/>
                <w:szCs w:val="28"/>
                <w:highlight w:val="yellow"/>
              </w:rPr>
            </w:pPr>
            <w:r>
              <w:rPr>
                <w:rFonts w:hint="eastAsia" w:ascii="仿宋" w:hAnsi="仿宋" w:eastAsia="仿宋" w:cs="仿宋"/>
                <w:color w:val="000000"/>
                <w:sz w:val="24"/>
                <w:szCs w:val="24"/>
                <w:highlight w:val="none"/>
              </w:rPr>
              <w:t>202</w:t>
            </w:r>
            <w:r>
              <w:rPr>
                <w:rFonts w:hint="eastAsia" w:ascii="仿宋" w:hAnsi="仿宋" w:eastAsia="仿宋" w:cs="仿宋"/>
                <w:color w:val="000000"/>
                <w:sz w:val="24"/>
                <w:szCs w:val="24"/>
                <w:highlight w:val="none"/>
                <w:lang w:val="en-US" w:eastAsia="zh-CN"/>
              </w:rPr>
              <w:t>4</w:t>
            </w:r>
            <w:r>
              <w:rPr>
                <w:rFonts w:hint="eastAsia" w:ascii="仿宋" w:hAnsi="仿宋" w:eastAsia="仿宋" w:cs="仿宋"/>
                <w:color w:val="000000"/>
                <w:sz w:val="24"/>
                <w:szCs w:val="24"/>
                <w:highlight w:val="none"/>
              </w:rPr>
              <w:t>年计算机科学与技术学院学科竞赛清单</w:t>
            </w:r>
          </w:p>
        </w:tc>
        <w:tc>
          <w:tcPr>
            <w:tcW w:w="3885" w:type="dxa"/>
          </w:tcPr>
          <w:p w14:paraId="7B872CCB">
            <w:pPr>
              <w:adjustRightInd w:val="0"/>
              <w:snapToGrid w:val="0"/>
              <w:spacing w:line="288" w:lineRule="auto"/>
              <w:rPr>
                <w:rFonts w:hint="eastAsia" w:ascii="仿宋" w:hAnsi="仿宋" w:eastAsia="仿宋" w:cs="仿宋"/>
                <w:color w:val="000000"/>
                <w:spacing w:val="6"/>
                <w:sz w:val="28"/>
                <w:szCs w:val="28"/>
                <w:highlight w:val="none"/>
                <w:lang w:eastAsia="zh-CN"/>
              </w:rPr>
            </w:pPr>
            <w:r>
              <w:rPr>
                <w:rFonts w:hint="eastAsia" w:ascii="仿宋" w:hAnsi="仿宋" w:eastAsia="仿宋" w:cs="仿宋"/>
                <w:color w:val="000000"/>
                <w:spacing w:val="6"/>
                <w:sz w:val="28"/>
                <w:szCs w:val="28"/>
                <w:highlight w:val="none"/>
                <w:lang w:eastAsia="zh-CN"/>
              </w:rPr>
              <w:drawing>
                <wp:inline distT="0" distB="0" distL="114300" distR="114300">
                  <wp:extent cx="2395855" cy="3942715"/>
                  <wp:effectExtent l="0" t="0" r="4445" b="635"/>
                  <wp:docPr id="3" name="图片 3" descr="c4742128-4331-439b-aece-e0543fee84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4742128-4331-439b-aece-e0543fee847d"/>
                          <pic:cNvPicPr>
                            <a:picLocks noChangeAspect="1"/>
                          </pic:cNvPicPr>
                        </pic:nvPicPr>
                        <pic:blipFill>
                          <a:blip r:embed="rId8"/>
                          <a:stretch>
                            <a:fillRect/>
                          </a:stretch>
                        </pic:blipFill>
                        <pic:spPr>
                          <a:xfrm>
                            <a:off x="0" y="0"/>
                            <a:ext cx="2395855" cy="3942715"/>
                          </a:xfrm>
                          <a:prstGeom prst="rect">
                            <a:avLst/>
                          </a:prstGeom>
                        </pic:spPr>
                      </pic:pic>
                    </a:graphicData>
                  </a:graphic>
                </wp:inline>
              </w:drawing>
            </w:r>
          </w:p>
          <w:p w14:paraId="7BBEB29F">
            <w:pPr>
              <w:adjustRightInd w:val="0"/>
              <w:snapToGrid w:val="0"/>
              <w:spacing w:line="288" w:lineRule="auto"/>
              <w:rPr>
                <w:rFonts w:hint="eastAsia" w:ascii="仿宋" w:hAnsi="仿宋" w:eastAsia="仿宋" w:cs="仿宋"/>
                <w:color w:val="000000"/>
                <w:spacing w:val="6"/>
                <w:sz w:val="28"/>
                <w:szCs w:val="28"/>
                <w:highlight w:val="none"/>
                <w:lang w:eastAsia="zh-CN"/>
              </w:rPr>
            </w:pPr>
            <w:r>
              <w:rPr>
                <w:rFonts w:hint="eastAsia" w:ascii="仿宋" w:hAnsi="仿宋" w:eastAsia="仿宋" w:cs="仿宋"/>
                <w:color w:val="000000"/>
                <w:spacing w:val="6"/>
                <w:sz w:val="28"/>
                <w:szCs w:val="28"/>
                <w:highlight w:val="none"/>
                <w:lang w:eastAsia="zh-CN"/>
              </w:rPr>
              <w:drawing>
                <wp:inline distT="0" distB="0" distL="114300" distR="114300">
                  <wp:extent cx="2339975" cy="1153795"/>
                  <wp:effectExtent l="0" t="0" r="3175" b="8255"/>
                  <wp:docPr id="4" name="图片 4" descr="d7fd19c3-c01c-4d01-ad36-548dfa772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7fd19c3-c01c-4d01-ad36-548dfa772782"/>
                          <pic:cNvPicPr>
                            <a:picLocks noChangeAspect="1"/>
                          </pic:cNvPicPr>
                        </pic:nvPicPr>
                        <pic:blipFill>
                          <a:blip r:embed="rId9"/>
                          <a:stretch>
                            <a:fillRect/>
                          </a:stretch>
                        </pic:blipFill>
                        <pic:spPr>
                          <a:xfrm>
                            <a:off x="0" y="0"/>
                            <a:ext cx="2339975" cy="1153795"/>
                          </a:xfrm>
                          <a:prstGeom prst="rect">
                            <a:avLst/>
                          </a:prstGeom>
                        </pic:spPr>
                      </pic:pic>
                    </a:graphicData>
                  </a:graphic>
                </wp:inline>
              </w:drawing>
            </w:r>
          </w:p>
          <w:p w14:paraId="2AF98CC2">
            <w:pPr>
              <w:adjustRightInd w:val="0"/>
              <w:snapToGrid w:val="0"/>
              <w:spacing w:line="288" w:lineRule="auto"/>
              <w:ind w:firstLine="480" w:firstLineChars="200"/>
              <w:rPr>
                <w:rStyle w:val="9"/>
                <w:rFonts w:hint="default" w:hAnsi="宋体"/>
                <w:highlight w:val="yellow"/>
                <w:lang w:val="en-US" w:eastAsia="zh-CN" w:bidi="ar"/>
              </w:rPr>
            </w:pPr>
            <w:r>
              <w:rPr>
                <w:rStyle w:val="9"/>
                <w:rFonts w:hint="eastAsia" w:hAnsiTheme="minorHAnsi"/>
                <w:highlight w:val="none"/>
                <w:lang w:val="en-US" w:eastAsia="zh-CN"/>
              </w:rPr>
              <w:t>（说明：新增中国国际大学生创新创业大赛、全国大学生职业规划大赛</w:t>
            </w:r>
            <w:r>
              <w:rPr>
                <w:rStyle w:val="9"/>
                <w:rFonts w:hint="eastAsia" w:hAnsi="宋体"/>
                <w:highlight w:val="none"/>
                <w:lang w:val="en-US" w:eastAsia="zh-CN" w:bidi="ar"/>
              </w:rPr>
              <w:t>、中国研究生数学建模竞赛三项学科竞赛。其中，中国研究生数学建模竞赛</w:t>
            </w:r>
            <w:r>
              <w:rPr>
                <w:rStyle w:val="9"/>
                <w:rFonts w:hint="eastAsia"/>
                <w:highlight w:val="none"/>
                <w:lang w:val="en-US" w:eastAsia="zh-CN"/>
              </w:rPr>
              <w:t>仅就获国家级及以上</w:t>
            </w:r>
            <w:r>
              <w:rPr>
                <w:rStyle w:val="9"/>
                <w:rFonts w:hint="eastAsia" w:hAnsiTheme="minorHAnsi"/>
                <w:highlight w:val="none"/>
                <w:lang w:val="en-US" w:eastAsia="zh-CN"/>
              </w:rPr>
              <w:t>奖项</w:t>
            </w:r>
            <w:r>
              <w:rPr>
                <w:rStyle w:val="9"/>
                <w:rFonts w:hint="eastAsia"/>
                <w:highlight w:val="none"/>
                <w:lang w:val="en-US" w:eastAsia="zh-CN"/>
              </w:rPr>
              <w:t>时予以智育模块学科竞赛标准加分，其余等级获奖按体美劳育模块标准加分）</w:t>
            </w:r>
          </w:p>
        </w:tc>
      </w:tr>
    </w:tbl>
    <w:p w14:paraId="5EA1F29B">
      <w:pPr>
        <w:adjustRightInd w:val="0"/>
        <w:snapToGrid w:val="0"/>
        <w:spacing w:line="240" w:lineRule="auto"/>
        <w:jc w:val="center"/>
        <w:rPr>
          <w:rFonts w:hint="default" w:eastAsia="方正小标宋简体"/>
          <w:b/>
          <w:bCs w:val="0"/>
          <w:kern w:val="36"/>
          <w:sz w:val="36"/>
          <w:szCs w:val="36"/>
          <w:highlight w:val="none"/>
          <w:lang w:val="en-US" w:eastAsia="zh-CN"/>
        </w:rPr>
      </w:pPr>
    </w:p>
    <w:p w14:paraId="7E7C1AD0">
      <w:pPr>
        <w:rPr>
          <w:rFonts w:hint="default" w:eastAsia="仿宋_GB2312"/>
          <w:lang w:val="en-US" w:eastAsia="zh-CN"/>
        </w:rPr>
      </w:pPr>
      <w:r>
        <w:rPr>
          <w:rFonts w:hint="eastAsia"/>
          <w:lang w:val="en-US" w:eastAsia="zh-CN"/>
        </w:rPr>
        <w:t>*本说明仅供参考，请以《浙江师范大学计算机科学与技术学院研究生综合测评实施细则（三）》最终文本为准。</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912DA6DB-0991-4148-B579-F93B5BC2E72B}"/>
  </w:font>
  <w:font w:name="仿宋_GB2312">
    <w:altName w:val="仿宋"/>
    <w:panose1 w:val="02010609030101010101"/>
    <w:charset w:val="86"/>
    <w:family w:val="modern"/>
    <w:pitch w:val="default"/>
    <w:sig w:usb0="00000000" w:usb1="00000000" w:usb2="00000000" w:usb3="00000000" w:csb0="00040000" w:csb1="00000000"/>
    <w:embedRegular r:id="rId2" w:fontKey="{6DE94D4B-A048-4085-96BD-36140A310D24}"/>
  </w:font>
  <w:font w:name="仿宋">
    <w:panose1 w:val="02010609060101010101"/>
    <w:charset w:val="86"/>
    <w:family w:val="modern"/>
    <w:pitch w:val="default"/>
    <w:sig w:usb0="800002BF" w:usb1="38CF7CFA" w:usb2="00000016" w:usb3="00000000" w:csb0="00040001" w:csb1="00000000"/>
    <w:embedRegular r:id="rId3" w:fontKey="{27620416-B31E-40C3-90F0-970D438AAB61}"/>
  </w:font>
  <w:font w:name="方正小标宋简体">
    <w:panose1 w:val="02000000000000000000"/>
    <w:charset w:val="86"/>
    <w:family w:val="script"/>
    <w:pitch w:val="default"/>
    <w:sig w:usb0="00000001" w:usb1="08000000" w:usb2="00000000" w:usb3="00000000" w:csb0="00040000" w:csb1="00000000"/>
    <w:embedRegular r:id="rId4" w:fontKey="{F97F98A2-A548-417A-9941-E26BA6F60527}"/>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1B150E"/>
    <w:rsid w:val="18DB5458"/>
    <w:rsid w:val="2C1B150E"/>
    <w:rsid w:val="39A2619A"/>
    <w:rsid w:val="45D45A8C"/>
    <w:rsid w:val="467D52D7"/>
    <w:rsid w:val="5FD57FC1"/>
    <w:rsid w:val="75AE4F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qFormat="1" w:unhideWhenUsed="0" w:uiPriority="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footer"/>
    <w:basedOn w:val="1"/>
    <w:semiHidden/>
    <w:qFormat/>
    <w:uiPriority w:val="0"/>
    <w:pPr>
      <w:tabs>
        <w:tab w:val="center" w:pos="4153"/>
        <w:tab w:val="right" w:pos="8306"/>
      </w:tabs>
      <w:overflowPunct w:val="0"/>
      <w:autoSpaceDE w:val="0"/>
      <w:autoSpaceDN w:val="0"/>
      <w:adjustRightInd w:val="0"/>
      <w:textAlignment w:val="baseline"/>
    </w:pPr>
    <w:rPr>
      <w:sz w:val="20"/>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page number"/>
    <w:semiHidden/>
    <w:qFormat/>
    <w:uiPriority w:val="0"/>
  </w:style>
  <w:style w:type="character" w:customStyle="1" w:styleId="8">
    <w:name w:val="font21"/>
    <w:basedOn w:val="6"/>
    <w:autoRedefine/>
    <w:qFormat/>
    <w:uiPriority w:val="0"/>
    <w:rPr>
      <w:rFonts w:hint="default" w:ascii="仿宋_GB2312" w:eastAsia="仿宋_GB2312" w:cs="仿宋_GB2312"/>
      <w:b/>
      <w:bCs/>
      <w:color w:val="000000"/>
      <w:sz w:val="24"/>
      <w:szCs w:val="24"/>
      <w:u w:val="none"/>
    </w:rPr>
  </w:style>
  <w:style w:type="character" w:customStyle="1" w:styleId="9">
    <w:name w:val="font11"/>
    <w:basedOn w:val="6"/>
    <w:autoRedefine/>
    <w:qFormat/>
    <w:uiPriority w:val="0"/>
    <w:rPr>
      <w:rFonts w:hint="default"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2295</Words>
  <Characters>2364</Characters>
  <Lines>0</Lines>
  <Paragraphs>0</Paragraphs>
  <TotalTime>0</TotalTime>
  <ScaleCrop>false</ScaleCrop>
  <LinksUpToDate>false</LinksUpToDate>
  <CharactersWithSpaces>2369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2025-12-30T08:26:00Z</dcterms:created>
  <dc:creator>五口子鱼</dc:creator>
  <cp:lastModifiedBy>五口子鱼</cp:lastModifiedBy>
  <dcterms:modified xsi:type="dcterms:W3CDTF">2025-12-30T09:19:54Z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E1648DDC049F4F4D86D004B6D0D91DD2_11</vt:lpwstr>
  </property>
  <property fmtid="{D5CDD505-2E9C-101B-9397-08002B2CF9AE}" pid="4" name="KSOTemplateDocerSaveRecord">
    <vt:lpwstr>eyJoZGlkIjoiYTBjOGQ3OTRlYjc3MzgzOGU0NGE5ZDQxNGYwNTgzNWUiLCJ1c2VySWQiOiI1MTU1NjY0NjEifQ==</vt:lpwstr>
  </property>
</Properties>
</file>